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1B" w:rsidRPr="0025095B" w:rsidRDefault="00B740BC" w:rsidP="00F860C5">
      <w:pPr>
        <w:spacing w:after="0"/>
        <w:rPr>
          <w:b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1.05pt;margin-top:0;width:64.5pt;height:63pt;z-index:1;visibility:visible;mso-position-vertical:top">
            <v:imagedata r:id="rId8" o:title=""/>
            <w10:wrap type="square"/>
          </v:shape>
        </w:pict>
      </w:r>
      <w:r w:rsidR="00475C1B">
        <w:rPr>
          <w:b/>
          <w:lang w:val="uk-UA"/>
        </w:rPr>
        <w:t xml:space="preserve"> </w:t>
      </w:r>
      <w:bookmarkStart w:id="0" w:name="_GoBack"/>
      <w:bookmarkEnd w:id="0"/>
      <w:r w:rsidR="00475C1B">
        <w:rPr>
          <w:b/>
          <w:lang w:val="uk-UA"/>
        </w:rPr>
        <w:br w:type="textWrapping" w:clear="all"/>
      </w:r>
    </w:p>
    <w:p w:rsidR="00475C1B" w:rsidRPr="00F860C5" w:rsidRDefault="00475C1B" w:rsidP="00ED29F8">
      <w:pPr>
        <w:pStyle w:val="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uk-UA"/>
        </w:rPr>
        <w:t xml:space="preserve">КРАЇНА                       </w:t>
      </w:r>
      <w:r w:rsidRPr="00396FD0">
        <w:rPr>
          <w:b/>
          <w:sz w:val="28"/>
          <w:szCs w:val="28"/>
          <w:lang w:val="uk-UA"/>
        </w:rPr>
        <w:t>ПРОЄКТ</w:t>
      </w:r>
      <w:r w:rsidRPr="00F860C5">
        <w:rPr>
          <w:b/>
          <w:sz w:val="28"/>
          <w:szCs w:val="28"/>
          <w:lang w:val="uk-UA"/>
        </w:rPr>
        <w:t xml:space="preserve"> </w:t>
      </w:r>
    </w:p>
    <w:p w:rsidR="00475C1B" w:rsidRPr="008476B8" w:rsidRDefault="00475C1B" w:rsidP="00ED29F8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475C1B" w:rsidRPr="008476B8" w:rsidRDefault="00475C1B" w:rsidP="00ED29F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РАЙОНУ</w:t>
      </w:r>
    </w:p>
    <w:p w:rsidR="00475C1B" w:rsidRPr="008B3C23" w:rsidRDefault="00475C1B" w:rsidP="00ED29F8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475C1B" w:rsidRPr="008476B8" w:rsidRDefault="00475C1B" w:rsidP="00ED29F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475C1B" w:rsidRPr="0025095B" w:rsidRDefault="00475C1B" w:rsidP="00ED29F8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uk-UA"/>
        </w:rPr>
        <w:t xml:space="preserve">  -2 /2020</w:t>
      </w:r>
    </w:p>
    <w:p w:rsidR="00475C1B" w:rsidRPr="002A1AA7" w:rsidRDefault="00475C1B" w:rsidP="00ED29F8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475C1B" w:rsidRPr="00A77AA9" w:rsidRDefault="00475C1B" w:rsidP="00ED29F8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грудня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     м.Сторожинець</w:t>
      </w:r>
    </w:p>
    <w:p w:rsidR="00475C1B" w:rsidRDefault="00475C1B" w:rsidP="00ED29F8">
      <w:pPr>
        <w:pStyle w:val="a3"/>
        <w:rPr>
          <w:b/>
          <w:sz w:val="28"/>
          <w:szCs w:val="28"/>
          <w:lang w:val="uk-UA"/>
        </w:rPr>
      </w:pPr>
      <w:r w:rsidRPr="00E23604">
        <w:rPr>
          <w:b/>
          <w:sz w:val="28"/>
          <w:szCs w:val="28"/>
          <w:lang w:val="uk-UA"/>
        </w:rPr>
        <w:t xml:space="preserve">Про затвердження  </w:t>
      </w:r>
      <w:r>
        <w:rPr>
          <w:b/>
          <w:sz w:val="28"/>
          <w:szCs w:val="28"/>
          <w:lang w:val="uk-UA"/>
        </w:rPr>
        <w:t>Програми оздоровлення</w:t>
      </w:r>
    </w:p>
    <w:p w:rsidR="00475C1B" w:rsidRDefault="00475C1B" w:rsidP="00ED29F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відпочинку дітей Сторожинецької  міської </w:t>
      </w:r>
    </w:p>
    <w:p w:rsidR="00475C1B" w:rsidRPr="00CB1DD8" w:rsidRDefault="00475C1B" w:rsidP="00ED29F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 громади на 2021-2022 роки</w:t>
      </w:r>
    </w:p>
    <w:p w:rsidR="00475C1B" w:rsidRDefault="00475C1B" w:rsidP="00ED29F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5C1B" w:rsidRDefault="00475C1B" w:rsidP="00ED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75C1B" w:rsidRDefault="00475C1B" w:rsidP="00ED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5C1B" w:rsidRPr="00CE7153" w:rsidRDefault="00475C1B" w:rsidP="00ED29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475C1B" w:rsidRPr="00E23604" w:rsidRDefault="00475C1B" w:rsidP="00A715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>
        <w:rPr>
          <w:sz w:val="28"/>
          <w:szCs w:val="28"/>
          <w:lang w:val="uk-UA"/>
        </w:rPr>
        <w:t xml:space="preserve"> </w:t>
      </w:r>
      <w:r w:rsidRPr="00E23604">
        <w:rPr>
          <w:sz w:val="28"/>
          <w:szCs w:val="28"/>
        </w:rPr>
        <w:t xml:space="preserve">Програму </w:t>
      </w:r>
      <w:r>
        <w:rPr>
          <w:sz w:val="28"/>
          <w:szCs w:val="28"/>
          <w:lang w:val="uk-UA"/>
        </w:rPr>
        <w:t xml:space="preserve">оздоровлення та відпочинку дітей Сторожинецької </w:t>
      </w:r>
      <w:r w:rsidRPr="00287D13">
        <w:rPr>
          <w:sz w:val="28"/>
          <w:szCs w:val="28"/>
          <w:lang w:val="uk-UA"/>
        </w:rPr>
        <w:t>міської територіальної  громади</w:t>
      </w:r>
      <w:r>
        <w:rPr>
          <w:sz w:val="28"/>
          <w:szCs w:val="28"/>
          <w:lang w:val="uk-UA"/>
        </w:rPr>
        <w:t xml:space="preserve"> на 2021-2022 роки </w:t>
      </w:r>
      <w:r w:rsidRPr="00E23604">
        <w:rPr>
          <w:sz w:val="28"/>
          <w:szCs w:val="28"/>
        </w:rPr>
        <w:t>(додається).</w:t>
      </w:r>
    </w:p>
    <w:p w:rsidR="00475C1B" w:rsidRDefault="00475C1B" w:rsidP="00A71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E23604">
        <w:rPr>
          <w:rFonts w:ascii="Times New Roman" w:hAnsi="Times New Roman"/>
          <w:sz w:val="28"/>
          <w:szCs w:val="28"/>
        </w:rPr>
        <w:t>інансовому відділу міської ради при формуванні показників міського бюджету виділяти кошти на реалізацію Програми за поданням головного розпорядника коштів, виходячи з реальних можливостей бюджету та його пріоритетів.</w:t>
      </w:r>
    </w:p>
    <w:p w:rsidR="00475C1B" w:rsidRPr="00F22447" w:rsidRDefault="00475C1B" w:rsidP="00A71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 xml:space="preserve">3. </w:t>
      </w: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Pr="00AD2D7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та спорту (В.БОЖЕСКУЛ)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475C1B" w:rsidRPr="00C24505" w:rsidRDefault="00475C1B" w:rsidP="005C2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5C1B" w:rsidRPr="00E23604" w:rsidRDefault="00475C1B" w:rsidP="00ED29F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75C1B" w:rsidRPr="00581C99" w:rsidRDefault="00475C1B" w:rsidP="00ED2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475C1B" w:rsidRDefault="00475C1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5C1B" w:rsidRDefault="00475C1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5C1B" w:rsidRDefault="00475C1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5C1B" w:rsidRDefault="00475C1B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5C1B" w:rsidRPr="006B0357" w:rsidRDefault="00475C1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ЗАТВЕРДЖЕНО</w:t>
      </w:r>
    </w:p>
    <w:p w:rsidR="00475C1B" w:rsidRDefault="00475C1B" w:rsidP="00ED29F8">
      <w:pPr>
        <w:pStyle w:val="1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475C1B" w:rsidRPr="00A77AA9" w:rsidRDefault="00475C1B" w:rsidP="00ED29F8">
      <w:pPr>
        <w:pStyle w:val="11"/>
        <w:ind w:left="5040" w:right="-469"/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</w:pP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22.12.2020 р. №       -2/2020</w:t>
      </w: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Pr="000A1C40" w:rsidRDefault="00475C1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ПРОГРАМА</w:t>
      </w:r>
    </w:p>
    <w:p w:rsidR="00475C1B" w:rsidRPr="000A1C40" w:rsidRDefault="00475C1B" w:rsidP="000A1C40">
      <w:pPr>
        <w:pStyle w:val="a3"/>
        <w:jc w:val="center"/>
        <w:rPr>
          <w:b/>
          <w:sz w:val="36"/>
          <w:szCs w:val="36"/>
          <w:lang w:val="uk-UA"/>
        </w:rPr>
      </w:pPr>
      <w:r w:rsidRPr="000A1C40">
        <w:rPr>
          <w:b/>
          <w:sz w:val="36"/>
          <w:szCs w:val="36"/>
        </w:rPr>
        <w:t>оздоровлення та відпочинку дітей</w:t>
      </w:r>
      <w:r w:rsidRPr="000A1C40">
        <w:rPr>
          <w:b/>
          <w:sz w:val="36"/>
          <w:szCs w:val="36"/>
          <w:lang w:val="uk-UA"/>
        </w:rPr>
        <w:t xml:space="preserve"> Сторожинецької міської територіальної  громади</w:t>
      </w:r>
    </w:p>
    <w:p w:rsidR="00475C1B" w:rsidRPr="000A1C40" w:rsidRDefault="00475C1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0A1C40">
        <w:rPr>
          <w:rFonts w:ascii="Times New Roman" w:hAnsi="Times New Roman"/>
          <w:b/>
          <w:sz w:val="36"/>
          <w:szCs w:val="36"/>
          <w:lang w:eastAsia="ru-RU"/>
        </w:rPr>
        <w:t>на 202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1</w:t>
      </w:r>
      <w:r w:rsidRPr="000A1C40">
        <w:rPr>
          <w:rFonts w:ascii="Times New Roman" w:hAnsi="Times New Roman"/>
          <w:b/>
          <w:sz w:val="36"/>
          <w:szCs w:val="36"/>
          <w:lang w:eastAsia="ru-RU"/>
        </w:rPr>
        <w:t>-20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22</w:t>
      </w:r>
      <w:r w:rsidRPr="000A1C40">
        <w:rPr>
          <w:rFonts w:ascii="Times New Roman" w:hAnsi="Times New Roman"/>
          <w:b/>
          <w:sz w:val="36"/>
          <w:szCs w:val="36"/>
          <w:lang w:eastAsia="ru-RU"/>
        </w:rPr>
        <w:t xml:space="preserve"> роки</w:t>
      </w:r>
    </w:p>
    <w:p w:rsidR="00475C1B" w:rsidRPr="000A1C40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75C1B" w:rsidRPr="000A1C40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75C1B" w:rsidRPr="000A1C40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75C1B" w:rsidRPr="000A1C40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0A1C40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75C1B" w:rsidRDefault="00475C1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м.Сторожинець </w:t>
      </w:r>
    </w:p>
    <w:p w:rsidR="00475C1B" w:rsidRDefault="00475C1B" w:rsidP="005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2020 рік</w:t>
      </w:r>
    </w:p>
    <w:p w:rsidR="00475C1B" w:rsidRPr="000A1C40" w:rsidRDefault="00475C1B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lastRenderedPageBreak/>
        <w:tab/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ЗАГАЛЬНІ  ЗАСАДИ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1. Визначення проблеми, на розв’язання якої спрямована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Программа оздоровлення та відпочинку дітей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Дитинство – найважливіший період у житті людини. Саме в цей час вона формується фізично, психічно, інтелектуально та потребує найбільшої уваги й захисту. Якість дитячих років визначає якість усього подальшого свідомого життя людини. Суспільство, держава з кожним роком приділяє більше уваги до дітей. Основним показником ставлення держави та органів місцевого самоврядування до проблем підростаючого покоління є турбота про здоров’я дітей.</w:t>
      </w:r>
    </w:p>
    <w:p w:rsidR="00475C1B" w:rsidRPr="000A1C40" w:rsidRDefault="00475C1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Упродовж останніх років в Україні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Залишається високим рівень інвалідності серед дітей, що є одним із найбільш несприятливих явищ у комплексі характеристик стану здоров’я та соціального благополуччя населення. Не вдається уникнути тенденції до зростання кількості дітей-сиріт і дітей, позбавлених батьківського  піклування.</w:t>
      </w:r>
    </w:p>
    <w:p w:rsidR="00475C1B" w:rsidRPr="000A1C40" w:rsidRDefault="00475C1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У сучасних умовах  проблема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здоров’я дітей набуває особливої уваги.  Її розв’язання залежить не тільки  від сім’ї, а й від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діяльності суспільних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інс</w:t>
      </w:r>
      <w:r w:rsidRPr="000A1C40">
        <w:rPr>
          <w:rFonts w:ascii="Times New Roman" w:hAnsi="Times New Roman"/>
          <w:sz w:val="28"/>
          <w:szCs w:val="28"/>
          <w:lang w:eastAsia="ru-RU"/>
        </w:rPr>
        <w:t>титутів, які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беруть участь у вихованні та навчанні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дітей, сприяють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їх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соціалізації.  Останні роки особлива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увага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приділяється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дітей, які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захисту. Не залишається поза увагою й оздоровлення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обдарованих, талановитих, лідерів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учнівського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самоврядування.</w:t>
      </w:r>
    </w:p>
    <w:p w:rsidR="00475C1B" w:rsidRPr="000A1C40" w:rsidRDefault="00475C1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Фінансування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послуг з оздоровлення та відпочинку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 за останні роки не задовольняє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реальних потреб дітей, які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соціальної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уваги та підтримки. Це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свідчить про те, що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виникає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необхідність кардинального перегляду механізму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планування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заходів з оздоровлення та відпочинку дітей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  територіальної громади.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Комплексне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розв’язання проблем можливе шляхом затвердження Програми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 на 202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-20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(далі – Програма), яка спрямована на реалізацію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стратегічного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завдання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 права дитини на оздоровлення та відпочинок.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2. Мета Програми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>Метою Програми є: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реалізація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 права дитини на оздоровлення та відпочинок;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сприятливих умов для зміцнення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фізичного та психічного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 шляхом належної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покращання стану матеріально-технічної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lastRenderedPageBreak/>
        <w:t>- підвищення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рівня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кваліфікації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кадрів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створення умов для збереження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діючих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закладів.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3. Шляхи та способи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проблеми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0A1C40">
        <w:rPr>
          <w:rFonts w:ascii="Times New Roman" w:hAnsi="Times New Roman"/>
          <w:sz w:val="28"/>
          <w:szCs w:val="28"/>
          <w:lang w:eastAsia="ru-RU"/>
        </w:rPr>
        <w:t>Основними шляхами і засобами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проблеми є: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забезпечення та створення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оптимальних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сприятливих умов для оздоровлення та відпочинку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 оптимізація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фінансового і організаційного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дітей, учнівської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молоді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в</w:t>
      </w:r>
      <w:r w:rsidRPr="000A1C40">
        <w:rPr>
          <w:rFonts w:ascii="Times New Roman" w:hAnsi="Times New Roman"/>
          <w:sz w:val="28"/>
          <w:szCs w:val="28"/>
          <w:lang w:eastAsia="ru-RU"/>
        </w:rPr>
        <w:t>літку 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21-2022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років;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 співпраця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r w:rsidRPr="000A1C40">
        <w:rPr>
          <w:rFonts w:ascii="Times New Roman" w:hAnsi="Times New Roman"/>
          <w:sz w:val="28"/>
          <w:szCs w:val="28"/>
          <w:lang w:eastAsia="ru-RU"/>
        </w:rPr>
        <w:t>рганів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виконавчої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влади, профспілкових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організацій, підприємств, установ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стосовно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 збереження та розвиток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 та відпочинку, підвищення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якості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послуг, що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надаються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дитячими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закладами;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забезпечення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доступності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послуг для різних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категорій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населення;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поліпшення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інформаційного і рекламного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4. Перелік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завдань та заходів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головних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завдань та заходів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Програми є: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 поліпшення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матеріально-технічного, науково-методичного забезпечення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закладів;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 створення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сприятливих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умов для реалізації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0A1C40">
        <w:rPr>
          <w:rFonts w:ascii="Times New Roman" w:hAnsi="Times New Roman"/>
          <w:sz w:val="28"/>
          <w:szCs w:val="28"/>
          <w:lang w:eastAsia="ru-RU"/>
        </w:rPr>
        <w:t>соціально-педагогічних, медико-оздоровчих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інноваційних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проектів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відпочинку та оздоровлення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дітей, які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соціальної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уваги та підтримки.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5. Координація та контроль за ходом виконання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0A1C40">
        <w:rPr>
          <w:rFonts w:ascii="Times New Roman" w:hAnsi="Times New Roman"/>
          <w:sz w:val="28"/>
          <w:szCs w:val="28"/>
          <w:lang w:eastAsia="ru-RU"/>
        </w:rPr>
        <w:t>Організацію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управління за ходом виконання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здійснює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відділ  освіти, молоді та спорту Сторожинецької </w:t>
      </w:r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Виконавці, визначені в Програмі,  щороку  до 01 березня подають узагальнену інформацію профільній постійній комісії міської ради.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Фінансове забезпечення виконання Програми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Фінансування Програми здійснюється за рахунок коштів міського  бюджету, коштів підприємств, установ, організацій, професійних спілок та фондів, а також добровільних внесків юридичних та фізичних осіб та інших джерел, не заборонених законодавством.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Обсяги фінансування уточнюються щороку під час підготовки проекту бюджету Сторожинецької об’єднаної територіальної громади на відповідний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lastRenderedPageBreak/>
        <w:t>рік у межах видатків, передбачених головним розпорядником бюджетних коштів, відповідальним за виконання завдань і заходів Програми.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Програми проводиться щорічно, виходячи з фінансових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можливостей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міського бюджету, в межах затверджених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0A1C40">
        <w:rPr>
          <w:rFonts w:ascii="Times New Roman" w:hAnsi="Times New Roman"/>
          <w:sz w:val="28"/>
          <w:szCs w:val="28"/>
          <w:lang w:eastAsia="ru-RU"/>
        </w:rPr>
        <w:t>бюджетних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0A1C40">
        <w:rPr>
          <w:rFonts w:ascii="Times New Roman" w:hAnsi="Times New Roman"/>
          <w:sz w:val="28"/>
          <w:szCs w:val="28"/>
          <w:lang w:eastAsia="ru-RU"/>
        </w:rPr>
        <w:t>призначень.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7. Результативні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показники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"/>
        <w:gridCol w:w="3118"/>
        <w:gridCol w:w="1246"/>
        <w:gridCol w:w="1440"/>
        <w:gridCol w:w="1475"/>
        <w:gridCol w:w="1475"/>
      </w:tblGrid>
      <w:tr w:rsidR="00475C1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 показника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Одиниця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</w:tc>
      </w:tr>
      <w:tr w:rsidR="00475C1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 продукту</w:t>
            </w:r>
          </w:p>
        </w:tc>
      </w:tr>
      <w:tr w:rsidR="00475C1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Кількість дітей, яким надані послуги з 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475C1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придбаних путівок 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475C1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Показникиефективності</w:t>
            </w:r>
          </w:p>
        </w:tc>
      </w:tr>
      <w:tr w:rsidR="00475C1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відпочинок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475C1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</w:t>
            </w:r>
          </w:p>
        </w:tc>
      </w:tr>
    </w:tbl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5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Дмитро БОЙЧУК</w:t>
      </w:r>
    </w:p>
    <w:p w:rsidR="00475C1B" w:rsidRPr="000A1C40" w:rsidRDefault="00475C1B" w:rsidP="005C28A3"/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оздоровлення та відпочинку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дітей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МТГ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21-2022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. Ініціатор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0A1C40">
        <w:rPr>
          <w:rFonts w:ascii="Times New Roman" w:hAnsi="Times New Roman"/>
          <w:sz w:val="28"/>
          <w:szCs w:val="28"/>
          <w:lang w:eastAsia="ru-RU"/>
        </w:rPr>
        <w:t>міської ради.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A1C40">
        <w:rPr>
          <w:rFonts w:ascii="Times New Roman" w:hAnsi="Times New Roman"/>
          <w:sz w:val="28"/>
          <w:szCs w:val="28"/>
          <w:lang w:eastAsia="ru-RU"/>
        </w:rPr>
        <w:t>. Розробник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Програми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міської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. Відповідальний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виконавець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–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A1C40">
        <w:rPr>
          <w:rFonts w:ascii="Times New Roman" w:hAnsi="Times New Roman"/>
          <w:sz w:val="28"/>
          <w:szCs w:val="28"/>
          <w:lang w:eastAsia="ru-RU"/>
        </w:rPr>
        <w:t>. Співвиконавці: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A1C40">
        <w:rPr>
          <w:rFonts w:ascii="Times New Roman" w:hAnsi="Times New Roman"/>
          <w:sz w:val="28"/>
          <w:szCs w:val="28"/>
          <w:lang w:eastAsia="ru-RU"/>
        </w:rPr>
        <w:t>.1. Виконавчий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комітет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</w:t>
      </w:r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A1C40">
        <w:rPr>
          <w:rFonts w:ascii="Times New Roman" w:hAnsi="Times New Roman"/>
          <w:sz w:val="28"/>
          <w:szCs w:val="28"/>
          <w:lang w:eastAsia="ru-RU"/>
        </w:rPr>
        <w:t>. Термін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виконання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2021-2022 </w:t>
      </w:r>
      <w:r w:rsidRPr="000A1C40">
        <w:rPr>
          <w:rFonts w:ascii="Times New Roman" w:hAnsi="Times New Roman"/>
          <w:sz w:val="28"/>
          <w:szCs w:val="28"/>
          <w:lang w:eastAsia="ru-RU"/>
        </w:rPr>
        <w:t>роки.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5C1B" w:rsidRPr="000A1C40" w:rsidRDefault="00475C1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Обсяги та джерела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фінансування.</w:t>
      </w:r>
    </w:p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28"/>
        <w:gridCol w:w="2160"/>
        <w:gridCol w:w="1800"/>
        <w:gridCol w:w="1800"/>
        <w:gridCol w:w="1440"/>
      </w:tblGrid>
      <w:tr w:rsidR="00475C1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Джерела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</w:t>
            </w:r>
          </w:p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Обсяг фінансування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475C1B" w:rsidRPr="000A1C40" w:rsidTr="00803D8C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A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2022</w:t>
            </w:r>
          </w:p>
        </w:tc>
      </w:tr>
      <w:tr w:rsidR="00475C1B" w:rsidRPr="000A1C40" w:rsidTr="00803D8C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ind w:left="42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100 000</w:t>
            </w:r>
          </w:p>
        </w:tc>
      </w:tr>
      <w:tr w:rsidR="00475C1B" w:rsidRPr="000A1C40" w:rsidTr="00803D8C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ind w:left="42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475C1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Інші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джерела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ind w:left="8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75C1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300 000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C1B" w:rsidRPr="000A1C40" w:rsidRDefault="00475C1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300 000</w:t>
            </w:r>
          </w:p>
        </w:tc>
      </w:tr>
    </w:tbl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475C1B" w:rsidRPr="000A1C40" w:rsidRDefault="00475C1B" w:rsidP="005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Дмитро БОЙЧУК</w:t>
      </w:r>
    </w:p>
    <w:p w:rsidR="00475C1B" w:rsidRPr="000A1C40" w:rsidRDefault="00475C1B" w:rsidP="005C28A3"/>
    <w:p w:rsidR="00475C1B" w:rsidRPr="000A1C40" w:rsidRDefault="00475C1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5C1B" w:rsidRPr="000A1C40" w:rsidRDefault="00475C1B" w:rsidP="005C28A3">
      <w:pPr>
        <w:shd w:val="clear" w:color="auto" w:fill="FFFFFF"/>
        <w:spacing w:after="0" w:line="240" w:lineRule="auto"/>
        <w:jc w:val="both"/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t xml:space="preserve"> </w:t>
      </w:r>
    </w:p>
    <w:p w:rsidR="00475C1B" w:rsidRPr="000A1C40" w:rsidRDefault="00475C1B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475C1B" w:rsidRPr="000A1C40" w:rsidSect="006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BC" w:rsidRDefault="00B740BC" w:rsidP="00905FA5">
      <w:pPr>
        <w:spacing w:after="0" w:line="240" w:lineRule="auto"/>
      </w:pPr>
      <w:r>
        <w:separator/>
      </w:r>
    </w:p>
  </w:endnote>
  <w:endnote w:type="continuationSeparator" w:id="0">
    <w:p w:rsidR="00B740BC" w:rsidRDefault="00B740BC" w:rsidP="009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BC" w:rsidRDefault="00B740BC" w:rsidP="00905FA5">
      <w:pPr>
        <w:spacing w:after="0" w:line="240" w:lineRule="auto"/>
      </w:pPr>
      <w:r>
        <w:separator/>
      </w:r>
    </w:p>
  </w:footnote>
  <w:footnote w:type="continuationSeparator" w:id="0">
    <w:p w:rsidR="00B740BC" w:rsidRDefault="00B740BC" w:rsidP="0090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E3"/>
    <w:rsid w:val="00042645"/>
    <w:rsid w:val="000A1C40"/>
    <w:rsid w:val="0010419D"/>
    <w:rsid w:val="0013754F"/>
    <w:rsid w:val="00150EA5"/>
    <w:rsid w:val="0019603C"/>
    <w:rsid w:val="001E138E"/>
    <w:rsid w:val="002023FF"/>
    <w:rsid w:val="00230AF5"/>
    <w:rsid w:val="00245BE3"/>
    <w:rsid w:val="0025095B"/>
    <w:rsid w:val="0028600A"/>
    <w:rsid w:val="00287D13"/>
    <w:rsid w:val="002A1AA7"/>
    <w:rsid w:val="003053EC"/>
    <w:rsid w:val="00396FD0"/>
    <w:rsid w:val="004440D5"/>
    <w:rsid w:val="004577CA"/>
    <w:rsid w:val="0046663C"/>
    <w:rsid w:val="00475C1B"/>
    <w:rsid w:val="0049652F"/>
    <w:rsid w:val="00560157"/>
    <w:rsid w:val="00581C99"/>
    <w:rsid w:val="005C28A3"/>
    <w:rsid w:val="005F2264"/>
    <w:rsid w:val="00664C16"/>
    <w:rsid w:val="006B0357"/>
    <w:rsid w:val="006B775E"/>
    <w:rsid w:val="006E3978"/>
    <w:rsid w:val="006F38BD"/>
    <w:rsid w:val="00803D8C"/>
    <w:rsid w:val="008328C6"/>
    <w:rsid w:val="00834F50"/>
    <w:rsid w:val="008476B8"/>
    <w:rsid w:val="00860E6F"/>
    <w:rsid w:val="00866C28"/>
    <w:rsid w:val="008B3C23"/>
    <w:rsid w:val="00905FA5"/>
    <w:rsid w:val="009F1A97"/>
    <w:rsid w:val="00A42D5B"/>
    <w:rsid w:val="00A71518"/>
    <w:rsid w:val="00A77AA9"/>
    <w:rsid w:val="00AC0517"/>
    <w:rsid w:val="00AD2D7E"/>
    <w:rsid w:val="00B56468"/>
    <w:rsid w:val="00B740BC"/>
    <w:rsid w:val="00B80642"/>
    <w:rsid w:val="00C055C5"/>
    <w:rsid w:val="00C24505"/>
    <w:rsid w:val="00C8238F"/>
    <w:rsid w:val="00C8594F"/>
    <w:rsid w:val="00CA5B64"/>
    <w:rsid w:val="00CB1DD8"/>
    <w:rsid w:val="00CE7153"/>
    <w:rsid w:val="00DA0B4D"/>
    <w:rsid w:val="00DF37C9"/>
    <w:rsid w:val="00E23604"/>
    <w:rsid w:val="00E91438"/>
    <w:rsid w:val="00ED29F8"/>
    <w:rsid w:val="00F05BED"/>
    <w:rsid w:val="00F22447"/>
    <w:rsid w:val="00F3556D"/>
    <w:rsid w:val="00F860C5"/>
    <w:rsid w:val="00FB395F"/>
    <w:rsid w:val="00FC52E6"/>
    <w:rsid w:val="00FC5D15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29F8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D29F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D29F8"/>
    <w:rPr>
      <w:rFonts w:ascii="Times New Roman" w:hAnsi="Times New Roman" w:cs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  <w:sz w:val="22"/>
      <w:szCs w:val="22"/>
      <w:lang w:val="ru-RU" w:eastAsia="ru-RU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D29F8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905FA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05F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user</cp:lastModifiedBy>
  <cp:revision>8</cp:revision>
  <cp:lastPrinted>2020-12-04T12:21:00Z</cp:lastPrinted>
  <dcterms:created xsi:type="dcterms:W3CDTF">2020-12-04T16:17:00Z</dcterms:created>
  <dcterms:modified xsi:type="dcterms:W3CDTF">2020-12-16T14:50:00Z</dcterms:modified>
</cp:coreProperties>
</file>