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CF6" w:rsidRDefault="008C5CF6" w:rsidP="008C5CF6">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7AA573BA" wp14:editId="38559E02">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8C5CF6" w:rsidRDefault="008C5CF6" w:rsidP="008C5CF6">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8C5CF6" w:rsidRDefault="008C5CF6" w:rsidP="008C5CF6">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9A32C5" w:rsidRDefault="009A32C5" w:rsidP="009A32C5">
      <w:pPr>
        <w:spacing w:after="0" w:line="240" w:lineRule="auto"/>
        <w:jc w:val="center"/>
        <w:outlineLvl w:val="0"/>
        <w:rPr>
          <w:rFonts w:ascii="Times New Roman" w:eastAsia="Times New Roman" w:hAnsi="Times New Roman" w:cs="Times New Roman"/>
          <w:b/>
          <w:bCs/>
          <w:color w:val="000000" w:themeColor="text1"/>
          <w:kern w:val="36"/>
          <w:sz w:val="24"/>
          <w:szCs w:val="24"/>
          <w:lang w:eastAsia="uk-UA"/>
        </w:rPr>
      </w:pPr>
    </w:p>
    <w:p w:rsidR="002A398F" w:rsidRPr="00912464" w:rsidRDefault="002A398F" w:rsidP="009A32C5">
      <w:pPr>
        <w:spacing w:after="0" w:line="240" w:lineRule="auto"/>
        <w:jc w:val="center"/>
        <w:outlineLvl w:val="0"/>
        <w:rPr>
          <w:rFonts w:ascii="Times New Roman" w:eastAsia="Times New Roman" w:hAnsi="Times New Roman" w:cs="Times New Roman"/>
          <w:b/>
          <w:bCs/>
          <w:color w:val="000000" w:themeColor="text1"/>
          <w:kern w:val="36"/>
          <w:sz w:val="24"/>
          <w:szCs w:val="24"/>
          <w:lang w:eastAsia="uk-UA"/>
        </w:rPr>
      </w:pPr>
      <w:bookmarkStart w:id="0" w:name="_GoBack"/>
      <w:bookmarkEnd w:id="0"/>
      <w:r w:rsidRPr="00912464">
        <w:rPr>
          <w:rFonts w:ascii="Times New Roman" w:eastAsia="Times New Roman" w:hAnsi="Times New Roman" w:cs="Times New Roman"/>
          <w:b/>
          <w:bCs/>
          <w:color w:val="000000" w:themeColor="text1"/>
          <w:kern w:val="36"/>
          <w:sz w:val="24"/>
          <w:szCs w:val="24"/>
          <w:lang w:eastAsia="uk-UA"/>
        </w:rPr>
        <w:t>На потреби армії буковинці відрахували майже 70,0 млн грн військового податку</w:t>
      </w:r>
    </w:p>
    <w:p w:rsidR="002A398F" w:rsidRPr="00912464" w:rsidRDefault="002A398F" w:rsidP="009A32C5">
      <w:pPr>
        <w:pStyle w:val="a3"/>
        <w:spacing w:before="0" w:beforeAutospacing="0" w:after="0" w:afterAutospacing="0"/>
        <w:ind w:firstLine="567"/>
        <w:jc w:val="both"/>
        <w:rPr>
          <w:color w:val="000000" w:themeColor="text1"/>
        </w:rPr>
      </w:pPr>
      <w:r w:rsidRPr="00912464">
        <w:rPr>
          <w:color w:val="000000" w:themeColor="text1"/>
        </w:rPr>
        <w:t xml:space="preserve">У першому кварталі 2021 року зі своїх легальних доходів до державного бюджету буковинці перерахували майже 70,0 млн. грн. військового податку  – інформують у Головному управлінні ДПС у Чернівецькій області. При незмінній ставці податку 1,5 відсотка від об’єкту оподаткування - це на 11,2 млн грн більше як у січні - березні 2020 року. </w:t>
      </w:r>
    </w:p>
    <w:p w:rsidR="002A398F" w:rsidRPr="00912464" w:rsidRDefault="002A398F" w:rsidP="009A32C5">
      <w:pPr>
        <w:pStyle w:val="a3"/>
        <w:spacing w:before="0" w:beforeAutospacing="0" w:after="0" w:afterAutospacing="0"/>
        <w:ind w:firstLine="567"/>
        <w:jc w:val="both"/>
        <w:rPr>
          <w:color w:val="000000" w:themeColor="text1"/>
        </w:rPr>
      </w:pPr>
      <w:r w:rsidRPr="00912464">
        <w:rPr>
          <w:color w:val="000000" w:themeColor="text1"/>
        </w:rPr>
        <w:t xml:space="preserve">Всього, з початку запровадження військового податку (з 3 серпня 2014 року) буковинці сплатили на реформування Збройних Сил України сплатили понад 1 мільярд гривень (1093,5  млн грн). </w:t>
      </w:r>
      <w:r w:rsidRPr="002A398F">
        <w:rPr>
          <w:rStyle w:val="a5"/>
          <w:b w:val="0"/>
          <w:color w:val="000000" w:themeColor="text1"/>
        </w:rPr>
        <w:t>У 2014 році - 29,6 млн грн, у</w:t>
      </w:r>
      <w:r w:rsidRPr="002A398F">
        <w:rPr>
          <w:b/>
          <w:color w:val="000000" w:themeColor="text1"/>
        </w:rPr>
        <w:t xml:space="preserve"> </w:t>
      </w:r>
      <w:r w:rsidRPr="002A398F">
        <w:rPr>
          <w:rStyle w:val="a5"/>
          <w:b w:val="0"/>
          <w:color w:val="000000" w:themeColor="text1"/>
        </w:rPr>
        <w:t>2015 році ця сума складала 88,3 млн грн, у 2016 році - 106,2 млн грн,</w:t>
      </w:r>
      <w:r w:rsidRPr="002A398F">
        <w:rPr>
          <w:b/>
          <w:color w:val="000000" w:themeColor="text1"/>
        </w:rPr>
        <w:t xml:space="preserve"> </w:t>
      </w:r>
      <w:r w:rsidRPr="002A398F">
        <w:rPr>
          <w:rStyle w:val="a5"/>
          <w:b w:val="0"/>
          <w:color w:val="000000" w:themeColor="text1"/>
        </w:rPr>
        <w:t>у 2017 році – 148,6 млн грн,</w:t>
      </w:r>
      <w:r w:rsidRPr="002A398F">
        <w:rPr>
          <w:b/>
          <w:color w:val="000000" w:themeColor="text1"/>
        </w:rPr>
        <w:t xml:space="preserve"> </w:t>
      </w:r>
      <w:r w:rsidRPr="002A398F">
        <w:rPr>
          <w:rStyle w:val="a5"/>
          <w:b w:val="0"/>
          <w:color w:val="000000" w:themeColor="text1"/>
        </w:rPr>
        <w:t>у 2018 році – 189,2 млн грн,</w:t>
      </w:r>
      <w:r w:rsidRPr="00912464">
        <w:rPr>
          <w:color w:val="000000" w:themeColor="text1"/>
        </w:rPr>
        <w:t xml:space="preserve"> 2019 рік - 222,7 млн грн, 2020 рік - 238,9 млн грн, 2021 рік – 70,0 млн грн.</w:t>
      </w:r>
    </w:p>
    <w:p w:rsidR="00E1192A" w:rsidRDefault="00E1192A"/>
    <w:p w:rsidR="002A398F" w:rsidRPr="00142B75" w:rsidRDefault="002A398F" w:rsidP="002A398F">
      <w:pPr>
        <w:pStyle w:val="1"/>
        <w:spacing w:before="0" w:beforeAutospacing="0" w:after="0" w:afterAutospacing="0"/>
        <w:ind w:firstLine="567"/>
        <w:jc w:val="center"/>
        <w:rPr>
          <w:sz w:val="24"/>
          <w:szCs w:val="24"/>
        </w:rPr>
      </w:pPr>
      <w:r>
        <w:rPr>
          <w:sz w:val="24"/>
          <w:szCs w:val="24"/>
        </w:rPr>
        <w:t>Єд</w:t>
      </w:r>
      <w:r w:rsidRPr="00142B75">
        <w:rPr>
          <w:sz w:val="24"/>
          <w:szCs w:val="24"/>
        </w:rPr>
        <w:t>ин</w:t>
      </w:r>
      <w:r>
        <w:rPr>
          <w:sz w:val="24"/>
          <w:szCs w:val="24"/>
        </w:rPr>
        <w:t>а</w:t>
      </w:r>
      <w:r w:rsidRPr="00142B75">
        <w:rPr>
          <w:sz w:val="24"/>
          <w:szCs w:val="24"/>
        </w:rPr>
        <w:t xml:space="preserve"> звітн</w:t>
      </w:r>
      <w:r>
        <w:rPr>
          <w:sz w:val="24"/>
          <w:szCs w:val="24"/>
        </w:rPr>
        <w:t>і</w:t>
      </w:r>
      <w:r w:rsidRPr="00142B75">
        <w:rPr>
          <w:sz w:val="24"/>
          <w:szCs w:val="24"/>
        </w:rPr>
        <w:t>ст</w:t>
      </w:r>
      <w:r>
        <w:rPr>
          <w:sz w:val="24"/>
          <w:szCs w:val="24"/>
        </w:rPr>
        <w:t xml:space="preserve">ь: </w:t>
      </w:r>
      <w:r w:rsidRPr="00142B75">
        <w:rPr>
          <w:sz w:val="24"/>
          <w:szCs w:val="24"/>
        </w:rPr>
        <w:t>На сайті ДПС з'явилися електронні формати єдиної звітності</w:t>
      </w:r>
    </w:p>
    <w:p w:rsidR="002A398F" w:rsidRPr="00142B75" w:rsidRDefault="002A398F" w:rsidP="002A398F">
      <w:pPr>
        <w:pStyle w:val="11"/>
        <w:rPr>
          <w:szCs w:val="24"/>
        </w:rPr>
      </w:pPr>
      <w:r>
        <w:rPr>
          <w:szCs w:val="24"/>
        </w:rPr>
        <w:t xml:space="preserve">У Головному управлінні ДПС у Чернівецькій області роз’яснюють, </w:t>
      </w:r>
      <w:r w:rsidRPr="00142B75">
        <w:rPr>
          <w:szCs w:val="24"/>
        </w:rPr>
        <w:t xml:space="preserve">3 березня в Реєстрі електронних документів на сайті ДПС з'явилися електронні формати для єдиної звітності з ПДФО, ВЗ та ЄСВ. </w:t>
      </w:r>
    </w:p>
    <w:p w:rsidR="002A398F" w:rsidRDefault="002A398F" w:rsidP="002A398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 податковій службі н</w:t>
      </w:r>
      <w:r w:rsidRPr="00142B75">
        <w:rPr>
          <w:rFonts w:ascii="Times New Roman" w:eastAsia="Times New Roman" w:hAnsi="Times New Roman" w:cs="Times New Roman"/>
          <w:bCs/>
          <w:sz w:val="24"/>
          <w:szCs w:val="24"/>
          <w:lang w:eastAsia="uk-UA"/>
        </w:rPr>
        <w:t>агаду</w:t>
      </w:r>
      <w:r>
        <w:rPr>
          <w:rFonts w:ascii="Times New Roman" w:eastAsia="Times New Roman" w:hAnsi="Times New Roman" w:cs="Times New Roman"/>
          <w:bCs/>
          <w:sz w:val="24"/>
          <w:szCs w:val="24"/>
          <w:lang w:eastAsia="uk-UA"/>
        </w:rPr>
        <w:t>ють</w:t>
      </w:r>
      <w:r w:rsidRPr="00142B75">
        <w:rPr>
          <w:rFonts w:ascii="Times New Roman" w:eastAsia="Times New Roman" w:hAnsi="Times New Roman" w:cs="Times New Roman"/>
          <w:bCs/>
          <w:sz w:val="24"/>
          <w:szCs w:val="24"/>
          <w:lang w:eastAsia="uk-UA"/>
        </w:rPr>
        <w:t>, що вперше подавати єдину звітність роботодавці мають за І квартал 2021 року.</w:t>
      </w:r>
      <w:r w:rsidRPr="00142B75">
        <w:rPr>
          <w:rFonts w:ascii="Times New Roman" w:eastAsia="Times New Roman" w:hAnsi="Times New Roman" w:cs="Times New Roman"/>
          <w:sz w:val="24"/>
          <w:szCs w:val="24"/>
          <w:lang w:eastAsia="uk-UA"/>
        </w:rPr>
        <w:t xml:space="preserve"> Податкові агенти зобов’язані подавати протягом 40 календарних днів, що настають за останнім календарним днем звітного кварталу, Розрахунок до ДПС за основним місцем обліку.</w:t>
      </w:r>
    </w:p>
    <w:p w:rsidR="002A398F" w:rsidRPr="00142B75" w:rsidRDefault="002A398F" w:rsidP="002A398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Відтак, </w:t>
      </w:r>
      <w:r w:rsidRPr="00142B75">
        <w:rPr>
          <w:rFonts w:ascii="Times New Roman" w:eastAsia="Times New Roman" w:hAnsi="Times New Roman" w:cs="Times New Roman"/>
          <w:sz w:val="24"/>
          <w:szCs w:val="24"/>
          <w:lang w:eastAsia="uk-UA"/>
        </w:rPr>
        <w:t xml:space="preserve">23 березня </w:t>
      </w:r>
      <w:r>
        <w:rPr>
          <w:rFonts w:ascii="Times New Roman" w:eastAsia="Times New Roman" w:hAnsi="Times New Roman" w:cs="Times New Roman"/>
          <w:sz w:val="24"/>
          <w:szCs w:val="24"/>
          <w:lang w:eastAsia="uk-UA"/>
        </w:rPr>
        <w:t xml:space="preserve">2021 року </w:t>
      </w:r>
      <w:r w:rsidRPr="00142B75">
        <w:rPr>
          <w:rFonts w:ascii="Times New Roman" w:eastAsia="Times New Roman" w:hAnsi="Times New Roman" w:cs="Times New Roman"/>
          <w:sz w:val="24"/>
          <w:szCs w:val="24"/>
          <w:lang w:eastAsia="uk-UA"/>
        </w:rPr>
        <w:t>в Реєстрі електронних документів на сайті ДПС </w:t>
      </w:r>
      <w:r>
        <w:rPr>
          <w:rFonts w:ascii="Times New Roman" w:eastAsia="Times New Roman" w:hAnsi="Times New Roman" w:cs="Times New Roman"/>
          <w:sz w:val="24"/>
          <w:szCs w:val="24"/>
          <w:lang w:eastAsia="uk-UA"/>
        </w:rPr>
        <w:t>з'явилися</w:t>
      </w:r>
      <w:r w:rsidRPr="00142B75">
        <w:rPr>
          <w:rFonts w:ascii="Times New Roman" w:eastAsia="Times New Roman" w:hAnsi="Times New Roman" w:cs="Times New Roman"/>
          <w:sz w:val="24"/>
          <w:szCs w:val="24"/>
          <w:lang w:eastAsia="uk-UA"/>
        </w:rPr>
        <w:t xml:space="preserve"> електронні формати для єдиної звітності з ПДФО, ВЗ та ЄСВ. В ньому містяться й формати для розрахунку зі статусом Довідковий. </w:t>
      </w:r>
    </w:p>
    <w:p w:rsidR="002A398F" w:rsidRPr="00142B75" w:rsidRDefault="002A398F" w:rsidP="002A398F">
      <w:pPr>
        <w:spacing w:after="0" w:line="240" w:lineRule="auto"/>
        <w:ind w:firstLine="567"/>
        <w:jc w:val="both"/>
        <w:rPr>
          <w:rFonts w:ascii="Times New Roman" w:eastAsia="Times New Roman" w:hAnsi="Times New Roman" w:cs="Times New Roman"/>
          <w:sz w:val="24"/>
          <w:szCs w:val="24"/>
          <w:lang w:eastAsia="uk-UA"/>
        </w:rPr>
      </w:pPr>
      <w:r w:rsidRPr="00142B75">
        <w:rPr>
          <w:rFonts w:ascii="Times New Roman" w:eastAsia="Times New Roman" w:hAnsi="Times New Roman" w:cs="Times New Roman"/>
          <w:sz w:val="24"/>
          <w:szCs w:val="24"/>
          <w:lang w:eastAsia="uk-UA"/>
        </w:rPr>
        <w:t>А саме:</w:t>
      </w:r>
    </w:p>
    <w:p w:rsidR="002A398F" w:rsidRPr="00142B75" w:rsidRDefault="002A398F" w:rsidP="002A398F">
      <w:pPr>
        <w:spacing w:after="0" w:line="240" w:lineRule="auto"/>
        <w:ind w:firstLine="567"/>
        <w:jc w:val="both"/>
        <w:rPr>
          <w:rFonts w:ascii="Times New Roman" w:eastAsia="Times New Roman" w:hAnsi="Times New Roman" w:cs="Times New Roman"/>
          <w:sz w:val="24"/>
          <w:szCs w:val="24"/>
          <w:lang w:eastAsia="uk-UA"/>
        </w:rPr>
      </w:pPr>
      <w:hyperlink r:id="rId5" w:tgtFrame="_blank" w:history="1">
        <w:r w:rsidRPr="00142B75">
          <w:rPr>
            <w:rFonts w:ascii="Times New Roman" w:eastAsia="Times New Roman" w:hAnsi="Times New Roman" w:cs="Times New Roman"/>
            <w:color w:val="0000FF"/>
            <w:sz w:val="24"/>
            <w:szCs w:val="24"/>
            <w:u w:val="single"/>
            <w:lang w:eastAsia="uk-UA"/>
          </w:rPr>
          <w:t>J0500106 з додатками</w:t>
        </w:r>
      </w:hyperlink>
      <w:r w:rsidRPr="00142B75">
        <w:rPr>
          <w:rFonts w:ascii="Times New Roman" w:eastAsia="Times New Roman" w:hAnsi="Times New Roman" w:cs="Times New Roman"/>
          <w:sz w:val="24"/>
          <w:szCs w:val="24"/>
          <w:lang w:eastAsia="uk-UA"/>
        </w:rPr>
        <w:t xml:space="preserve"> J0510106, J0510206, J0510306, J0510406, J0510506, J0510606 (для </w:t>
      </w:r>
      <w:proofErr w:type="spellStart"/>
      <w:r w:rsidRPr="00142B75">
        <w:rPr>
          <w:rFonts w:ascii="Times New Roman" w:eastAsia="Times New Roman" w:hAnsi="Times New Roman" w:cs="Times New Roman"/>
          <w:sz w:val="24"/>
          <w:szCs w:val="24"/>
          <w:lang w:eastAsia="uk-UA"/>
        </w:rPr>
        <w:t>юросіб</w:t>
      </w:r>
      <w:proofErr w:type="spellEnd"/>
      <w:r w:rsidRPr="00142B75">
        <w:rPr>
          <w:rFonts w:ascii="Times New Roman" w:eastAsia="Times New Roman" w:hAnsi="Times New Roman" w:cs="Times New Roman"/>
          <w:sz w:val="24"/>
          <w:szCs w:val="24"/>
          <w:lang w:eastAsia="uk-UA"/>
        </w:rPr>
        <w:t>);</w:t>
      </w:r>
    </w:p>
    <w:p w:rsidR="002A398F" w:rsidRDefault="002A398F" w:rsidP="002A398F">
      <w:pPr>
        <w:spacing w:after="0" w:line="240" w:lineRule="auto"/>
        <w:ind w:firstLine="567"/>
        <w:jc w:val="both"/>
        <w:rPr>
          <w:rFonts w:ascii="Times New Roman" w:eastAsia="Times New Roman" w:hAnsi="Times New Roman" w:cs="Times New Roman"/>
          <w:sz w:val="24"/>
          <w:szCs w:val="24"/>
          <w:lang w:eastAsia="uk-UA"/>
        </w:rPr>
      </w:pPr>
      <w:hyperlink r:id="rId6" w:tgtFrame="_blank" w:history="1">
        <w:r w:rsidRPr="00142B75">
          <w:rPr>
            <w:rFonts w:ascii="Times New Roman" w:eastAsia="Times New Roman" w:hAnsi="Times New Roman" w:cs="Times New Roman"/>
            <w:color w:val="0000FF"/>
            <w:sz w:val="24"/>
            <w:szCs w:val="24"/>
            <w:u w:val="single"/>
            <w:lang w:eastAsia="uk-UA"/>
          </w:rPr>
          <w:t>F0500106 з додатками</w:t>
        </w:r>
      </w:hyperlink>
      <w:r w:rsidRPr="00142B75">
        <w:rPr>
          <w:rFonts w:ascii="Times New Roman" w:eastAsia="Times New Roman" w:hAnsi="Times New Roman" w:cs="Times New Roman"/>
          <w:sz w:val="24"/>
          <w:szCs w:val="24"/>
          <w:lang w:eastAsia="uk-UA"/>
        </w:rPr>
        <w:t xml:space="preserve"> F0510106, F0510406, F0510506, F0510606 (для </w:t>
      </w:r>
      <w:proofErr w:type="spellStart"/>
      <w:r w:rsidRPr="00142B75">
        <w:rPr>
          <w:rFonts w:ascii="Times New Roman" w:eastAsia="Times New Roman" w:hAnsi="Times New Roman" w:cs="Times New Roman"/>
          <w:sz w:val="24"/>
          <w:szCs w:val="24"/>
          <w:lang w:eastAsia="uk-UA"/>
        </w:rPr>
        <w:t>фізосіб</w:t>
      </w:r>
      <w:proofErr w:type="spellEnd"/>
      <w:r w:rsidRPr="00142B75">
        <w:rPr>
          <w:rFonts w:ascii="Times New Roman" w:eastAsia="Times New Roman" w:hAnsi="Times New Roman" w:cs="Times New Roman"/>
          <w:sz w:val="24"/>
          <w:szCs w:val="24"/>
          <w:lang w:eastAsia="uk-UA"/>
        </w:rPr>
        <w:t>-підприємців).</w:t>
      </w:r>
    </w:p>
    <w:p w:rsidR="008C5CF6" w:rsidRDefault="008C5CF6" w:rsidP="002A398F">
      <w:pPr>
        <w:pStyle w:val="11"/>
        <w:jc w:val="center"/>
        <w:rPr>
          <w:b/>
          <w:lang w:eastAsia="uk-UA"/>
        </w:rPr>
      </w:pPr>
    </w:p>
    <w:p w:rsidR="002A398F" w:rsidRPr="00DF03E1" w:rsidRDefault="002A398F" w:rsidP="002A398F">
      <w:pPr>
        <w:pStyle w:val="11"/>
        <w:jc w:val="center"/>
        <w:rPr>
          <w:b/>
          <w:lang w:eastAsia="uk-UA"/>
        </w:rPr>
      </w:pPr>
      <w:r>
        <w:rPr>
          <w:b/>
          <w:lang w:eastAsia="uk-UA"/>
        </w:rPr>
        <w:t xml:space="preserve">Буковинські податківці роз’яснюють: </w:t>
      </w:r>
      <w:r w:rsidRPr="00DF03E1">
        <w:rPr>
          <w:b/>
          <w:lang w:eastAsia="uk-UA"/>
        </w:rPr>
        <w:t>Яка нерухомість, яка відноситься до об’єктів нежитлової</w:t>
      </w:r>
    </w:p>
    <w:p w:rsidR="002A398F" w:rsidRDefault="002A398F" w:rsidP="002A398F">
      <w:pPr>
        <w:pStyle w:val="11"/>
      </w:pPr>
      <w:r>
        <w:t xml:space="preserve">У Головному управлінні ДПС у Чернівецькій області роз’яснюють, що відповідно до </w:t>
      </w:r>
      <w:proofErr w:type="spellStart"/>
      <w:r>
        <w:t>п.п</w:t>
      </w:r>
      <w:proofErr w:type="spellEnd"/>
      <w:r>
        <w:t>. 14.1.129 прим. 1 п. 14.1 ст. 14 Податкового кодексу України від 02 грудня 2010 року № 2755-VI зі змінами та доповненнями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2A398F" w:rsidRDefault="002A398F" w:rsidP="002A398F">
      <w:pPr>
        <w:pStyle w:val="11"/>
      </w:pPr>
      <w: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2A398F" w:rsidRDefault="002A398F" w:rsidP="002A398F">
      <w:pPr>
        <w:pStyle w:val="11"/>
      </w:pPr>
      <w:r>
        <w:t>б) будівлі офісні – будівлі фінансового обслуговування, адміністративно-побутові будівлі, будівлі для конторських та адміністративних цілей;</w:t>
      </w:r>
    </w:p>
    <w:p w:rsidR="002A398F" w:rsidRDefault="002A398F" w:rsidP="002A398F">
      <w:pPr>
        <w:pStyle w:val="11"/>
      </w:pPr>
      <w: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2A398F" w:rsidRDefault="002A398F" w:rsidP="002A398F">
      <w:pPr>
        <w:pStyle w:val="11"/>
      </w:pPr>
      <w:r>
        <w:t>г) гаражі – гаражі (наземні й підземні) та криті автомобільні стоянки;</w:t>
      </w:r>
    </w:p>
    <w:p w:rsidR="002A398F" w:rsidRDefault="002A398F" w:rsidP="002A398F">
      <w:pPr>
        <w:pStyle w:val="11"/>
      </w:pPr>
      <w:r>
        <w:t>ґ) будівлі промислові та склади;</w:t>
      </w:r>
    </w:p>
    <w:p w:rsidR="002A398F" w:rsidRDefault="002A398F" w:rsidP="002A398F">
      <w:pPr>
        <w:pStyle w:val="11"/>
      </w:pPr>
      <w:r>
        <w:t>д) будівлі для публічних виступів (казино, ігорні будинки);</w:t>
      </w:r>
    </w:p>
    <w:p w:rsidR="002A398F" w:rsidRDefault="002A398F" w:rsidP="002A398F">
      <w:pPr>
        <w:pStyle w:val="11"/>
      </w:pPr>
      <w: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2A398F" w:rsidRDefault="002A398F" w:rsidP="002A398F">
      <w:pPr>
        <w:pStyle w:val="11"/>
      </w:pPr>
      <w:r>
        <w:lastRenderedPageBreak/>
        <w:t>є) інші будівлі.</w:t>
      </w:r>
    </w:p>
    <w:p w:rsidR="002A398F" w:rsidRDefault="002A398F"/>
    <w:p w:rsidR="00842AA8" w:rsidRPr="00842AA8" w:rsidRDefault="00842AA8" w:rsidP="00842AA8">
      <w:pPr>
        <w:pStyle w:val="1"/>
        <w:spacing w:before="0" w:beforeAutospacing="0" w:after="0" w:afterAutospacing="0"/>
        <w:ind w:firstLine="567"/>
        <w:jc w:val="center"/>
        <w:rPr>
          <w:sz w:val="24"/>
          <w:szCs w:val="24"/>
        </w:rPr>
      </w:pPr>
      <w:r w:rsidRPr="00842AA8">
        <w:rPr>
          <w:sz w:val="24"/>
          <w:szCs w:val="24"/>
        </w:rPr>
        <w:t>Тиждень онлайн консультацій: ТОП - 5 роз’яснень про погашення податкового боргу та заборгованості з ЄСВ</w:t>
      </w:r>
    </w:p>
    <w:p w:rsidR="00842AA8" w:rsidRPr="00842AA8" w:rsidRDefault="00842AA8" w:rsidP="00842AA8">
      <w:pPr>
        <w:spacing w:after="0" w:line="240" w:lineRule="auto"/>
        <w:ind w:firstLine="567"/>
        <w:jc w:val="both"/>
        <w:rPr>
          <w:rFonts w:ascii="Times New Roman" w:eastAsia="Times New Roman" w:hAnsi="Times New Roman" w:cs="Times New Roman"/>
          <w:sz w:val="24"/>
          <w:szCs w:val="24"/>
          <w:lang w:eastAsia="uk-UA"/>
        </w:rPr>
      </w:pPr>
      <w:r w:rsidRPr="00842AA8">
        <w:rPr>
          <w:rFonts w:ascii="Times New Roman" w:eastAsia="Times New Roman" w:hAnsi="Times New Roman" w:cs="Times New Roman"/>
          <w:sz w:val="24"/>
          <w:szCs w:val="24"/>
          <w:lang w:eastAsia="uk-UA"/>
        </w:rPr>
        <w:t xml:space="preserve">Днями, в рамках консультаційного тижня, податківці вели діалог з буковинцями про погашення податкового боргу та заборгованості з ЄСВ. Буковинці надсилали свої запитання та телефонували на «гарячу лінію». </w:t>
      </w:r>
    </w:p>
    <w:p w:rsidR="00842AA8" w:rsidRPr="00842AA8" w:rsidRDefault="00842AA8" w:rsidP="00842AA8">
      <w:pPr>
        <w:spacing w:after="0" w:line="240" w:lineRule="auto"/>
        <w:ind w:firstLine="567"/>
        <w:jc w:val="both"/>
        <w:rPr>
          <w:rFonts w:ascii="Times New Roman" w:eastAsia="Times New Roman" w:hAnsi="Times New Roman" w:cs="Times New Roman"/>
          <w:sz w:val="24"/>
          <w:szCs w:val="24"/>
          <w:lang w:eastAsia="uk-UA"/>
        </w:rPr>
      </w:pPr>
      <w:r w:rsidRPr="00842AA8">
        <w:rPr>
          <w:rFonts w:ascii="Times New Roman" w:eastAsia="Times New Roman" w:hAnsi="Times New Roman" w:cs="Times New Roman"/>
          <w:sz w:val="24"/>
          <w:szCs w:val="24"/>
          <w:lang w:eastAsia="uk-UA"/>
        </w:rPr>
        <w:t>Спікери:</w:t>
      </w:r>
      <w:r>
        <w:rPr>
          <w:rFonts w:ascii="Times New Roman" w:eastAsia="Times New Roman" w:hAnsi="Times New Roman" w:cs="Times New Roman"/>
          <w:sz w:val="24"/>
          <w:szCs w:val="24"/>
          <w:lang w:eastAsia="uk-UA"/>
        </w:rPr>
        <w:t xml:space="preserve"> </w:t>
      </w:r>
      <w:r w:rsidRPr="00842AA8">
        <w:rPr>
          <w:rFonts w:ascii="Times New Roman" w:eastAsia="Times New Roman" w:hAnsi="Times New Roman" w:cs="Times New Roman"/>
          <w:sz w:val="24"/>
          <w:szCs w:val="24"/>
          <w:lang w:eastAsia="uk-UA"/>
        </w:rPr>
        <w:t xml:space="preserve">Микола </w:t>
      </w:r>
      <w:proofErr w:type="spellStart"/>
      <w:r w:rsidRPr="00842AA8">
        <w:rPr>
          <w:rFonts w:ascii="Times New Roman" w:eastAsia="Times New Roman" w:hAnsi="Times New Roman" w:cs="Times New Roman"/>
          <w:sz w:val="24"/>
          <w:szCs w:val="24"/>
          <w:lang w:eastAsia="uk-UA"/>
        </w:rPr>
        <w:t>Загарюк</w:t>
      </w:r>
      <w:proofErr w:type="spellEnd"/>
      <w:r w:rsidRPr="00842AA8">
        <w:rPr>
          <w:rFonts w:ascii="Times New Roman" w:eastAsia="Times New Roman" w:hAnsi="Times New Roman" w:cs="Times New Roman"/>
          <w:sz w:val="24"/>
          <w:szCs w:val="24"/>
          <w:lang w:eastAsia="uk-UA"/>
        </w:rPr>
        <w:t xml:space="preserve"> - заступник начальника Головного управління ДПС у Чернівецькій області; Руслан </w:t>
      </w:r>
      <w:proofErr w:type="spellStart"/>
      <w:r w:rsidRPr="00842AA8">
        <w:rPr>
          <w:rFonts w:ascii="Times New Roman" w:eastAsia="Times New Roman" w:hAnsi="Times New Roman" w:cs="Times New Roman"/>
          <w:sz w:val="24"/>
          <w:szCs w:val="24"/>
          <w:lang w:eastAsia="uk-UA"/>
        </w:rPr>
        <w:t>Пітик</w:t>
      </w:r>
      <w:proofErr w:type="spellEnd"/>
      <w:r w:rsidRPr="00842AA8">
        <w:rPr>
          <w:rFonts w:ascii="Times New Roman" w:eastAsia="Times New Roman" w:hAnsi="Times New Roman" w:cs="Times New Roman"/>
          <w:sz w:val="24"/>
          <w:szCs w:val="24"/>
          <w:lang w:eastAsia="uk-UA"/>
        </w:rPr>
        <w:t xml:space="preserve"> – начальник управління по роботі з податковим боргом. </w:t>
      </w:r>
    </w:p>
    <w:p w:rsidR="000D6A95" w:rsidRPr="000D6A95" w:rsidRDefault="000D6A95" w:rsidP="00842AA8">
      <w:pPr>
        <w:spacing w:after="0" w:line="240" w:lineRule="auto"/>
        <w:ind w:firstLine="567"/>
        <w:rPr>
          <w:rFonts w:ascii="Times New Roman" w:hAnsi="Times New Roman" w:cs="Times New Roman"/>
          <w:sz w:val="24"/>
          <w:szCs w:val="24"/>
        </w:rPr>
      </w:pPr>
      <w:r w:rsidRPr="000D6A95">
        <w:rPr>
          <w:rFonts w:ascii="Times New Roman" w:hAnsi="Times New Roman" w:cs="Times New Roman"/>
          <w:sz w:val="24"/>
          <w:szCs w:val="24"/>
        </w:rPr>
        <w:t>Найбільш актуальні запитання:</w:t>
      </w:r>
    </w:p>
    <w:p w:rsidR="003F227D" w:rsidRPr="00842AA8" w:rsidRDefault="003F227D" w:rsidP="008C5CF6">
      <w:pPr>
        <w:spacing w:after="0" w:line="240" w:lineRule="auto"/>
        <w:ind w:firstLine="567"/>
        <w:jc w:val="both"/>
        <w:rPr>
          <w:rFonts w:ascii="Times New Roman" w:hAnsi="Times New Roman" w:cs="Times New Roman"/>
          <w:b/>
          <w:sz w:val="24"/>
          <w:szCs w:val="24"/>
        </w:rPr>
      </w:pPr>
      <w:r w:rsidRPr="00842AA8">
        <w:rPr>
          <w:rFonts w:ascii="Times New Roman" w:hAnsi="Times New Roman" w:cs="Times New Roman"/>
          <w:b/>
          <w:sz w:val="24"/>
          <w:szCs w:val="24"/>
        </w:rPr>
        <w:t>За яких умов контролюючий орган має право здійснити погашення податкового боргу шляхом продажу майна платника податків, яке перебуває у податковій заставі?</w:t>
      </w:r>
    </w:p>
    <w:p w:rsidR="003F227D" w:rsidRPr="00842AA8" w:rsidRDefault="003F227D" w:rsidP="008C5CF6">
      <w:pPr>
        <w:spacing w:after="0" w:line="240" w:lineRule="auto"/>
        <w:ind w:firstLine="567"/>
        <w:jc w:val="both"/>
        <w:rPr>
          <w:rFonts w:ascii="Times New Roman" w:hAnsi="Times New Roman" w:cs="Times New Roman"/>
          <w:b/>
          <w:sz w:val="24"/>
          <w:szCs w:val="24"/>
        </w:rPr>
      </w:pPr>
      <w:r w:rsidRPr="00842AA8">
        <w:rPr>
          <w:rFonts w:ascii="Times New Roman" w:hAnsi="Times New Roman" w:cs="Times New Roman"/>
          <w:b/>
          <w:sz w:val="24"/>
          <w:szCs w:val="24"/>
        </w:rPr>
        <w:t>Яка дата списання податкового боргу платників податків, який обліковувався станом на 01.11.2020 та сукупний розмір якого за усіма податками і зборами не перевищував 3060 грн.?</w:t>
      </w:r>
    </w:p>
    <w:p w:rsidR="003F227D" w:rsidRPr="00842AA8" w:rsidRDefault="003F227D" w:rsidP="008C5CF6">
      <w:pPr>
        <w:spacing w:after="0" w:line="240" w:lineRule="auto"/>
        <w:ind w:firstLine="567"/>
        <w:jc w:val="both"/>
        <w:rPr>
          <w:rFonts w:ascii="Times New Roman" w:hAnsi="Times New Roman" w:cs="Times New Roman"/>
          <w:b/>
          <w:sz w:val="24"/>
          <w:szCs w:val="24"/>
        </w:rPr>
      </w:pPr>
      <w:r w:rsidRPr="00842AA8">
        <w:rPr>
          <w:rFonts w:ascii="Times New Roman" w:hAnsi="Times New Roman" w:cs="Times New Roman"/>
          <w:b/>
          <w:sz w:val="24"/>
          <w:szCs w:val="24"/>
        </w:rPr>
        <w:t>Яка передбачена відповідальність, якщо СГ своєчасно не сплачує розстрочені суми податкового боргу (грошових зобов’язань)?</w:t>
      </w:r>
    </w:p>
    <w:p w:rsidR="003F227D" w:rsidRPr="00842AA8" w:rsidRDefault="003F227D" w:rsidP="008C5CF6">
      <w:pPr>
        <w:spacing w:after="0" w:line="240" w:lineRule="auto"/>
        <w:ind w:firstLine="567"/>
        <w:jc w:val="both"/>
        <w:rPr>
          <w:rFonts w:ascii="Times New Roman" w:hAnsi="Times New Roman" w:cs="Times New Roman"/>
          <w:b/>
          <w:sz w:val="24"/>
          <w:szCs w:val="24"/>
        </w:rPr>
      </w:pPr>
      <w:r w:rsidRPr="00842AA8">
        <w:rPr>
          <w:rFonts w:ascii="Times New Roman" w:hAnsi="Times New Roman" w:cs="Times New Roman"/>
          <w:b/>
          <w:sz w:val="24"/>
          <w:szCs w:val="24"/>
        </w:rPr>
        <w:t>Чи повинен платник податків узгоджувати з контролюючим органом здійснення операцій з майном, яке перебуває у податковій заставі?</w:t>
      </w:r>
    </w:p>
    <w:p w:rsidR="003F227D" w:rsidRPr="00842AA8" w:rsidRDefault="003F227D" w:rsidP="008C5CF6">
      <w:pPr>
        <w:spacing w:after="0" w:line="240" w:lineRule="auto"/>
        <w:ind w:firstLine="567"/>
        <w:jc w:val="both"/>
        <w:rPr>
          <w:rFonts w:ascii="Times New Roman" w:hAnsi="Times New Roman" w:cs="Times New Roman"/>
          <w:b/>
          <w:sz w:val="24"/>
          <w:szCs w:val="24"/>
        </w:rPr>
      </w:pPr>
      <w:r w:rsidRPr="00842AA8">
        <w:rPr>
          <w:rFonts w:ascii="Times New Roman" w:hAnsi="Times New Roman" w:cs="Times New Roman"/>
          <w:b/>
          <w:sz w:val="24"/>
          <w:szCs w:val="24"/>
        </w:rPr>
        <w:t>Як здійснюється розстрочення та відстрочення заборгованості по сплаті ЄСВ?</w:t>
      </w:r>
    </w:p>
    <w:p w:rsidR="002A398F" w:rsidRPr="00842AA8" w:rsidRDefault="00842AA8" w:rsidP="00842AA8">
      <w:pPr>
        <w:spacing w:after="0" w:line="240" w:lineRule="auto"/>
        <w:ind w:firstLine="567"/>
        <w:rPr>
          <w:rFonts w:ascii="Times New Roman" w:hAnsi="Times New Roman" w:cs="Times New Roman"/>
          <w:sz w:val="24"/>
          <w:szCs w:val="24"/>
        </w:rPr>
      </w:pPr>
      <w:r w:rsidRPr="00842AA8">
        <w:rPr>
          <w:rFonts w:ascii="Times New Roman" w:hAnsi="Times New Roman" w:cs="Times New Roman"/>
          <w:sz w:val="24"/>
          <w:szCs w:val="24"/>
        </w:rPr>
        <w:t xml:space="preserve">Відповіді на запитання: </w:t>
      </w:r>
      <w:hyperlink r:id="rId7" w:history="1">
        <w:r w:rsidR="000D6A95" w:rsidRPr="00C54784">
          <w:rPr>
            <w:rStyle w:val="a6"/>
            <w:rFonts w:ascii="Times New Roman" w:hAnsi="Times New Roman" w:cs="Times New Roman"/>
            <w:sz w:val="24"/>
            <w:szCs w:val="24"/>
          </w:rPr>
          <w:t>https://cv.tax.gov.ua/media-ark/news-ark/461847.html</w:t>
        </w:r>
      </w:hyperlink>
      <w:r w:rsidR="000D6A95">
        <w:rPr>
          <w:rFonts w:ascii="Times New Roman" w:hAnsi="Times New Roman" w:cs="Times New Roman"/>
          <w:sz w:val="24"/>
          <w:szCs w:val="24"/>
        </w:rPr>
        <w:t xml:space="preserve"> </w:t>
      </w:r>
    </w:p>
    <w:sectPr w:rsidR="002A398F" w:rsidRPr="00842A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8F"/>
    <w:rsid w:val="000D6A95"/>
    <w:rsid w:val="002A398F"/>
    <w:rsid w:val="003F227D"/>
    <w:rsid w:val="00842AA8"/>
    <w:rsid w:val="008C5CF6"/>
    <w:rsid w:val="009A32C5"/>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1A98"/>
  <w15:chartTrackingRefBased/>
  <w15:docId w15:val="{3A90F3A1-3C33-4D34-BC8A-869F4A31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98F"/>
  </w:style>
  <w:style w:type="paragraph" w:styleId="1">
    <w:name w:val="heading 1"/>
    <w:basedOn w:val="a"/>
    <w:link w:val="10"/>
    <w:uiPriority w:val="9"/>
    <w:qFormat/>
    <w:rsid w:val="002A3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2A39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A398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2A398F"/>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A398F"/>
    <w:rPr>
      <w:rFonts w:ascii="Times New Roman" w:eastAsia="Times New Roman" w:hAnsi="Times New Roman" w:cs="Times New Roman"/>
      <w:b/>
      <w:bCs/>
      <w:kern w:val="36"/>
      <w:sz w:val="48"/>
      <w:szCs w:val="48"/>
      <w:lang w:eastAsia="uk-UA"/>
    </w:rPr>
  </w:style>
  <w:style w:type="character" w:styleId="a6">
    <w:name w:val="Hyperlink"/>
    <w:basedOn w:val="a0"/>
    <w:uiPriority w:val="99"/>
    <w:unhideWhenUsed/>
    <w:rsid w:val="000D6A95"/>
    <w:rPr>
      <w:color w:val="0563C1" w:themeColor="hyperlink"/>
      <w:u w:val="single"/>
    </w:rPr>
  </w:style>
  <w:style w:type="character" w:styleId="a7">
    <w:name w:val="Unresolved Mention"/>
    <w:basedOn w:val="a0"/>
    <w:uiPriority w:val="99"/>
    <w:semiHidden/>
    <w:unhideWhenUsed/>
    <w:rsid w:val="000D6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03965">
      <w:bodyDiv w:val="1"/>
      <w:marLeft w:val="0"/>
      <w:marRight w:val="0"/>
      <w:marTop w:val="0"/>
      <w:marBottom w:val="0"/>
      <w:divBdr>
        <w:top w:val="none" w:sz="0" w:space="0" w:color="auto"/>
        <w:left w:val="none" w:sz="0" w:space="0" w:color="auto"/>
        <w:bottom w:val="none" w:sz="0" w:space="0" w:color="auto"/>
        <w:right w:val="none" w:sz="0" w:space="0" w:color="auto"/>
      </w:divBdr>
    </w:div>
    <w:div w:id="15854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v.tax.gov.ua/media-ark/news-ark/46184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data/material/000/357/453385/f0500106.arj" TargetMode="External"/><Relationship Id="rId5" Type="http://schemas.openxmlformats.org/officeDocument/2006/relationships/hyperlink" Target="https://tax.gov.ua/data/material/000/357/453385/j0500106.ar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3061</Words>
  <Characters>1746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2021-04-07T08:12:00Z</dcterms:created>
  <dcterms:modified xsi:type="dcterms:W3CDTF">2021-04-07T08:30:00Z</dcterms:modified>
</cp:coreProperties>
</file>