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C" w:rsidRPr="00D137A6" w:rsidRDefault="00074CEC" w:rsidP="00D137A6">
      <w:pPr>
        <w:spacing w:after="0" w:line="480" w:lineRule="atLeast"/>
        <w:ind w:right="-7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07345083" r:id="rId6"/>
        </w:pict>
      </w:r>
      <w:r w:rsidRPr="00D137A6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</w:t>
      </w:r>
    </w:p>
    <w:p w:rsidR="00074CEC" w:rsidRPr="00D137A6" w:rsidRDefault="00074CEC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У К Р А Ї Н А</w:t>
      </w:r>
    </w:p>
    <w:p w:rsidR="00074CEC" w:rsidRPr="00D137A6" w:rsidRDefault="00074CEC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ab/>
      </w:r>
    </w:p>
    <w:p w:rsidR="00074CEC" w:rsidRPr="00D137A6" w:rsidRDefault="00074CEC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СТОРОЖИНЕЦЬКОГО РАЙОНУ</w:t>
      </w:r>
    </w:p>
    <w:p w:rsidR="00074CEC" w:rsidRPr="00D137A6" w:rsidRDefault="00074CEC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ЧЕРНІВЕЦЬКОЇ  ОБЛАСТІ</w:t>
      </w: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ab/>
      </w: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074CEC" w:rsidRPr="00D137A6" w:rsidRDefault="00074CEC" w:rsidP="00D137A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bCs/>
          <w:sz w:val="32"/>
          <w:szCs w:val="32"/>
          <w:lang w:val="uk-UA" w:eastAsia="ru-RU"/>
        </w:rPr>
        <w:t>ХХ</w:t>
      </w: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VІ сесія VII скликання</w:t>
      </w: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74CEC" w:rsidRPr="00D137A6" w:rsidRDefault="00074CEC" w:rsidP="00D137A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pacing w:val="60"/>
          <w:sz w:val="32"/>
          <w:szCs w:val="32"/>
          <w:lang w:val="uk-UA" w:eastAsia="ru-RU"/>
        </w:rPr>
        <w:t xml:space="preserve">   Р І Ш Е Н Н Я  №</w:t>
      </w:r>
      <w:r>
        <w:rPr>
          <w:rFonts w:ascii="Times New Roman" w:hAnsi="Times New Roman"/>
          <w:b/>
          <w:spacing w:val="60"/>
          <w:sz w:val="32"/>
          <w:szCs w:val="32"/>
          <w:lang w:val="uk-UA" w:eastAsia="ru-RU"/>
        </w:rPr>
        <w:t>359</w:t>
      </w:r>
      <w:r w:rsidRPr="00D137A6">
        <w:rPr>
          <w:rFonts w:ascii="Times New Roman" w:hAnsi="Times New Roman"/>
          <w:b/>
          <w:spacing w:val="60"/>
          <w:sz w:val="32"/>
          <w:szCs w:val="32"/>
          <w:lang w:val="uk-UA" w:eastAsia="ru-RU"/>
        </w:rPr>
        <w:t>-26/2018</w:t>
      </w: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074CEC" w:rsidRPr="00D53002" w:rsidTr="00E25FC4">
        <w:tc>
          <w:tcPr>
            <w:tcW w:w="4261" w:type="dxa"/>
          </w:tcPr>
          <w:p w:rsidR="00074CEC" w:rsidRPr="00D137A6" w:rsidRDefault="00074CEC" w:rsidP="00D137A6">
            <w:pPr>
              <w:spacing w:after="0" w:line="240" w:lineRule="auto"/>
              <w:ind w:right="-49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7A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21 грудня 2018 року</w:t>
            </w:r>
          </w:p>
        </w:tc>
        <w:tc>
          <w:tcPr>
            <w:tcW w:w="5203" w:type="dxa"/>
          </w:tcPr>
          <w:p w:rsidR="00074CEC" w:rsidRPr="00D137A6" w:rsidRDefault="00074CEC" w:rsidP="00D137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7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074CEC" w:rsidRPr="00D137A6" w:rsidRDefault="00074CEC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Pr="00511364" w:rsidRDefault="00074CEC" w:rsidP="00511364">
      <w:pPr>
        <w:tabs>
          <w:tab w:val="left" w:pos="5220"/>
        </w:tabs>
        <w:suppressAutoHyphens/>
        <w:spacing w:after="0" w:line="240" w:lineRule="auto"/>
        <w:ind w:right="3415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0"/>
          <w:lang w:val="uk-UA" w:eastAsia="ru-RU"/>
        </w:rPr>
        <w:t xml:space="preserve">Про затвердження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Положення п</w:t>
      </w:r>
      <w:r w:rsidRPr="00511364">
        <w:rPr>
          <w:rFonts w:ascii="Times New Roman" w:hAnsi="Times New Roman"/>
          <w:b/>
          <w:sz w:val="28"/>
          <w:szCs w:val="20"/>
          <w:lang w:val="uk-UA" w:eastAsia="ru-RU"/>
        </w:rPr>
        <w:t>ро Бюджет участі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511364">
        <w:rPr>
          <w:rFonts w:ascii="Times New Roman" w:hAnsi="Times New Roman"/>
          <w:b/>
          <w:sz w:val="28"/>
          <w:szCs w:val="20"/>
          <w:lang w:val="uk-UA" w:eastAsia="ru-RU"/>
        </w:rPr>
        <w:t>в Сторожинецькій міській об’єднаній територіальній громаді</w:t>
      </w:r>
    </w:p>
    <w:p w:rsidR="00074CEC" w:rsidRPr="00D137A6" w:rsidRDefault="00074CEC" w:rsidP="00511364">
      <w:pPr>
        <w:tabs>
          <w:tab w:val="left" w:pos="5220"/>
        </w:tabs>
        <w:suppressAutoHyphens/>
        <w:spacing w:after="0" w:line="240" w:lineRule="auto"/>
        <w:ind w:right="3415"/>
        <w:rPr>
          <w:rFonts w:ascii="Times New Roman" w:hAnsi="Times New Roman"/>
          <w:b/>
          <w:sz w:val="26"/>
          <w:szCs w:val="20"/>
          <w:lang w:val="uk-UA" w:eastAsia="ru-RU"/>
        </w:rPr>
      </w:pPr>
    </w:p>
    <w:p w:rsidR="00074CEC" w:rsidRPr="00D137A6" w:rsidRDefault="00074CEC" w:rsidP="00D137A6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16 частини 1 статті 43 Закону України “Про місцеве самоврядування в Україні”, </w:t>
      </w:r>
    </w:p>
    <w:p w:rsidR="00074CEC" w:rsidRPr="00D137A6" w:rsidRDefault="00074CEC" w:rsidP="00D137A6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0"/>
          <w:lang w:val="uk-UA" w:eastAsia="ru-RU"/>
        </w:rPr>
        <w:t>міська рада вирішила:</w:t>
      </w:r>
    </w:p>
    <w:p w:rsidR="00074CEC" w:rsidRPr="002F3AFF" w:rsidRDefault="00074CEC" w:rsidP="002F3A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ab/>
      </w:r>
      <w:bookmarkStart w:id="0" w:name="_GoBack"/>
      <w:bookmarkEnd w:id="0"/>
      <w:r w:rsidRPr="00D137A6">
        <w:rPr>
          <w:rFonts w:ascii="Times New Roman" w:hAnsi="Times New Roman"/>
          <w:sz w:val="28"/>
          <w:szCs w:val="20"/>
          <w:lang w:val="uk-UA" w:eastAsia="ru-RU"/>
        </w:rPr>
        <w:t xml:space="preserve"> 1.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</w:t>
      </w:r>
      <w:r w:rsidRPr="00D137A6">
        <w:rPr>
          <w:rFonts w:ascii="Times New Roman" w:hAnsi="Times New Roman"/>
          <w:sz w:val="28"/>
          <w:szCs w:val="20"/>
          <w:lang w:val="uk-UA" w:eastAsia="ru-RU"/>
        </w:rPr>
        <w:t xml:space="preserve"> Затвердити </w:t>
      </w:r>
      <w:r>
        <w:rPr>
          <w:rFonts w:ascii="Times New Roman" w:hAnsi="Times New Roman"/>
          <w:sz w:val="28"/>
          <w:szCs w:val="20"/>
          <w:lang w:val="uk-UA" w:eastAsia="ru-RU"/>
        </w:rPr>
        <w:t>Положення п</w:t>
      </w:r>
      <w:r w:rsidRPr="00511364">
        <w:rPr>
          <w:rFonts w:ascii="Times New Roman" w:hAnsi="Times New Roman"/>
          <w:sz w:val="28"/>
          <w:szCs w:val="20"/>
          <w:lang w:val="uk-UA" w:eastAsia="ru-RU"/>
        </w:rPr>
        <w:t>ро Бюджет участі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511364">
        <w:rPr>
          <w:rFonts w:ascii="Times New Roman" w:hAnsi="Times New Roman"/>
          <w:sz w:val="28"/>
          <w:szCs w:val="20"/>
          <w:lang w:val="uk-UA" w:eastAsia="ru-RU"/>
        </w:rPr>
        <w:t>в Сторожинецькій міській об’єднаній територіальній громаді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, </w:t>
      </w:r>
      <w:r w:rsidRPr="00D137A6">
        <w:rPr>
          <w:rFonts w:ascii="Times New Roman" w:hAnsi="Times New Roman"/>
          <w:sz w:val="28"/>
          <w:szCs w:val="20"/>
          <w:lang w:val="uk-UA" w:eastAsia="ru-RU"/>
        </w:rPr>
        <w:t xml:space="preserve">що додається. </w:t>
      </w:r>
    </w:p>
    <w:p w:rsidR="00074CEC" w:rsidRDefault="00074CEC" w:rsidP="00D137A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D137A6">
        <w:rPr>
          <w:rFonts w:ascii="Times New Roman" w:hAnsi="Times New Roman"/>
          <w:bCs/>
          <w:sz w:val="28"/>
          <w:szCs w:val="28"/>
          <w:lang w:val="uk-UA" w:eastAsia="ru-RU"/>
        </w:rPr>
        <w:t>. 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</w:t>
      </w:r>
      <w:r w:rsidRPr="00D137A6">
        <w:rPr>
          <w:rFonts w:ascii="Times New Roman" w:hAnsi="Times New Roman"/>
          <w:bCs/>
          <w:sz w:val="28"/>
          <w:szCs w:val="28"/>
          <w:lang w:val="uk-UA" w:eastAsia="ru-RU"/>
        </w:rPr>
        <w:t xml:space="preserve"> (С. Войцицький).</w:t>
      </w:r>
    </w:p>
    <w:p w:rsidR="00074CEC" w:rsidRPr="00D137A6" w:rsidRDefault="00074CEC" w:rsidP="00D137A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М.</w:t>
      </w: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>М. Карлійчук</w:t>
      </w: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74CEC" w:rsidRPr="00D137A6" w:rsidRDefault="00074CEC" w:rsidP="00D13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Default="00074CEC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Default="00074CEC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Default="00074CEC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Default="00074CEC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Default="00074CEC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Default="00074CEC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CEC" w:rsidRPr="00D137A6" w:rsidRDefault="00074CEC" w:rsidP="002F3A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137A6">
        <w:rPr>
          <w:rFonts w:ascii="Times New Roman" w:hAnsi="Times New Roman"/>
          <w:sz w:val="20"/>
          <w:szCs w:val="20"/>
          <w:lang w:val="uk-UA" w:eastAsia="ru-RU"/>
        </w:rPr>
        <w:tab/>
      </w:r>
      <w:r w:rsidRPr="00D137A6">
        <w:rPr>
          <w:rFonts w:ascii="Times New Roman" w:hAnsi="Times New Roman"/>
          <w:sz w:val="20"/>
          <w:szCs w:val="20"/>
          <w:lang w:val="uk-UA" w:eastAsia="ru-RU"/>
        </w:rPr>
        <w:tab/>
      </w:r>
      <w:r w:rsidRPr="00D137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074CEC" w:rsidRPr="002F3AFF" w:rsidRDefault="00074CEC" w:rsidP="002F3AF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1" w:name="bookmark0"/>
      <w:r w:rsidRPr="002F3AFF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>ЗАТВЕРЖЕНО</w:t>
      </w:r>
    </w:p>
    <w:p w:rsidR="00074CEC" w:rsidRPr="002F3AFF" w:rsidRDefault="00074CEC" w:rsidP="002F3AFF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2F3AFF">
        <w:rPr>
          <w:rFonts w:ascii="Times New Roman" w:hAnsi="Times New Roman"/>
          <w:b/>
          <w:bCs/>
          <w:sz w:val="28"/>
          <w:szCs w:val="28"/>
          <w:lang w:val="uk-UA" w:eastAsia="ru-RU"/>
        </w:rPr>
        <w:t>ХХ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 xml:space="preserve">VІ    сесії міської </w:t>
      </w:r>
    </w:p>
    <w:p w:rsidR="00074CEC" w:rsidRPr="002F3AFF" w:rsidRDefault="00074CEC" w:rsidP="002F3AFF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 xml:space="preserve">ради VIІ скликання </w:t>
      </w:r>
    </w:p>
    <w:p w:rsidR="00074CEC" w:rsidRPr="002F3AFF" w:rsidRDefault="00074CEC" w:rsidP="002F3AFF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 21.12.2018 року № 359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>-26/2018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Положення </w:t>
      </w: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</w:t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 Бюджет участі</w:t>
      </w:r>
      <w:bookmarkEnd w:id="1"/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 Сторожинецькій міській об’єднаній територіальній громаді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У Положенні застосовуються такі терміни: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Бюджет участі - це процес взаємодії органів місцевого самоврядування з громадськістю, направлений на залучення жителів, які постійно проживають у межах Сторожинецької ОТГ до прийняття рішень щодо розподілу частини бюджету Сторожинецької міської ради ОТГ, залучення їх до участі у бюджетному процесі та надання можливості вільного доступу до інформації, а також забезпечення відкритості та прозорості діяльності Сторожинецької міської ради ОТГ;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робоча група - група фахівців із представників апарату Сторожинецької міської ради ОТГ, яка створюється розпорядженням голови Сторожинецької міської ОТГ для аналізу проектів;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відповідальні працівники - працівники апарату Сторожинецької міської ради ОТГ, які координують питання функціонування Бюджету участі, здійснюють підготовку проектів нормативно-правових актів та забезпечують співпрацю з громадськістю щодо питань Бюджету участі;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проект - пропозиція, яка подана автором відповідно до форми подання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та відповідає вимогам, які визначені Положенням про Бюджет участі у Сторожинецькій міській об’єднаній територіальній громаді;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автор - повнолітній дієздатний громадянин України віком від 14 років, який постійно проживає у межах Сторожинецької міської ОТГ;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карта аналізу проекту - формуляр, який заповнюється робочою групою;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пункти голосування - місця для проведення голосування, які визначені розпорядженням голови Сторожинецької міської ОТГ;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- процес визначення жителями проектів- переможців серед поданих проектів у електронному (за наявності технічних можливостей) та паперовому вигляді (у пункті для голосування);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встановлення підсумків голосування - підрахунок голосів, поданих за кожен із проектів відповідно до онлайн-голосування (за наявності технічних можливостей) та заповнених паперових бланків для голосування;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проекти-переможці - проекти, що відповідно до встановлення підсумків голосування набрали найбільшу кількість балів.</w:t>
      </w:r>
    </w:p>
    <w:p w:rsidR="00074CEC" w:rsidRPr="00511364" w:rsidRDefault="00074CEC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головні розпорядники бюджетних коштів - органи Сторожинецької міської ради ОТГ в особі їх керівників, які отримують повноваження шляхом встановлення бюджетних призначень для виконання проектів - переможців.</w:t>
      </w:r>
    </w:p>
    <w:p w:rsidR="00074CEC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1. Загальні положення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1.1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Положення про Бюджет участі в Сторожинецькій міській об’єднаній територіальній громаді (далі – Сторожинецька ОТГ) визначає основні вимоги до організації і проведення процесу бюджету участі у Сторожинецькій міській ОТГ.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1.2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Бюджет участі - це процес взаємодії органів місцевого самоврядування з громадськістю, направлений на включення жителів, які постійно проживають у межах Сторожинецька ОТГ, до прийняття рішень щодо розподілу частини бюджету Сторожинецької міської ради ОТГ, залучення їх до участі у бюджетному процесі та надання можливості для вільного доступу до інформації, а також забезпечення відкритості та прозорості діяльності Сторожинецької міської ради ОТГ.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1.3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Процес Бюджету участі - процес складання, розгляду, відбору, затвердження, виконання проектів, звітування про їх виконання, а також контролю за дотриманням бюджетного законодавства, який триває календарний рік.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1.4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Бюджету участі має сприяти налагодженню системного діалогу влади Сторожинецької міської ОТГ із жителями, які постійно проживають на території Сторожинецької міської ОТГ, створенню умов для їх участі у реалізації повноважень, визначених Законом України «Про місцеве самоврядування в Україні».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1.5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Участь у функціонуванні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партиципаторного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бюджетування можуть брати ініціативні жителі та групи громадян, громадські об’єднання та організації, інші інституції громадянського суспільства, які ведуть свою діяльність на території Сторожинецької міської ОТГ.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1.6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Фінансування Бюджету участі в Сторожинецькій міській ОТГ здійснюється за рахунок коштів бюджету Сторожинецької міської ради ОТГ.</w:t>
      </w:r>
    </w:p>
    <w:p w:rsidR="00074CEC" w:rsidRPr="00511364" w:rsidRDefault="00074CEC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1.7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Загальний обсяг Бюджету участі визначається Сторожинецькою міською радою на відповідний рік згідно цільової програми «Бюджет участі у Сторожинецькій міській ОТГ» у межах відповідних бюджетних асигнувань. Бюджет участі щороку може збільшуватись відповідно до бюджетних надходжень.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1.8. Бюджет участі Сторожинецької міської ОТГ на 2019 рік становить не менше 250,00 тисяч гривень (двісті п’ятдесят тисяч гривень).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1.9. Розмір коштів на фінансування одного проекту в рамках Бюджету участі на 2018 рік не повинен перевищувати 50,0 тисяч гривень (п’ятдесят тисяч гривень). Максимальна сума коштів на один населений пункт – 50 тис. грн. Максимальний розмір коштів на один проект кожного наступного року може змінюватися.</w:t>
      </w:r>
    </w:p>
    <w:p w:rsidR="00074CEC" w:rsidRPr="002F3AFF" w:rsidRDefault="00074CEC" w:rsidP="002F3AFF">
      <w:pPr>
        <w:numPr>
          <w:ilvl w:val="1"/>
          <w:numId w:val="1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Інформація про Бюджет участі Сторожинецької міської ОТГ оприлюднюється на офіційному веб-сайті Сторожинецької міської ради</w:t>
      </w:r>
    </w:p>
    <w:p w:rsidR="00074CEC" w:rsidRPr="002F3AFF" w:rsidRDefault="00074CEC" w:rsidP="002F3AF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074CEC" w:rsidRDefault="00074CEC" w:rsidP="0051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4CEC" w:rsidRDefault="00074CEC" w:rsidP="0051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2. Інформаційна та промоційна кампанія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2.1 Інформаційна кампанія Бюджету участі в Сторожинецькій міській ОТГ проводиться постійно.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2.2. Інформаційну кампанію проводять відповідальні працівники, а також апарат Сторожинецької міської ради ОТГ.</w:t>
      </w:r>
    </w:p>
    <w:p w:rsidR="00074CEC" w:rsidRPr="00511364" w:rsidRDefault="00074CEC" w:rsidP="00511364">
      <w:pPr>
        <w:numPr>
          <w:ilvl w:val="1"/>
          <w:numId w:val="8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Інформаційна та промоційна кампанія ділиться на чотири етапи:</w:t>
      </w:r>
    </w:p>
    <w:p w:rsidR="00074CEC" w:rsidRPr="00511364" w:rsidRDefault="00074CEC" w:rsidP="0051136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ознайомлення мешканців з основними положеннями та принципами Бюджету участі, а також заохочування мешканців до подання проектів;</w:t>
      </w:r>
    </w:p>
    <w:p w:rsidR="00074CEC" w:rsidRPr="00511364" w:rsidRDefault="00074CEC" w:rsidP="0051136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інформування про хронологію, етапи і дати проведення заходів;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2.3.3 представлення отриманих проектів та заохочення до участі у голосуванні;</w:t>
      </w:r>
    </w:p>
    <w:p w:rsidR="00074CEC" w:rsidRPr="00511364" w:rsidRDefault="00074CEC" w:rsidP="005113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розповсюдження інформації стосовно перебігу та результатів процесу запровадження Бюджету участі.</w:t>
      </w: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2" w:name="bookmark1"/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3. Подання проектів</w:t>
      </w:r>
      <w:bookmarkEnd w:id="2"/>
    </w:p>
    <w:p w:rsidR="00074CEC" w:rsidRPr="00511364" w:rsidRDefault="00074CEC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 можуть подавати жителі, які постійно проживають у межах Сторожинецької міської ОТГ та яким виповнилося 14 років.</w:t>
      </w:r>
    </w:p>
    <w:p w:rsidR="00074CEC" w:rsidRPr="00511364" w:rsidRDefault="00074CEC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Назва проекту повинна бути викладена лаконічно, в межах одного речення. Оригінальні назви не повинні суперечити їх основній меті.</w:t>
      </w:r>
    </w:p>
    <w:p w:rsidR="00074CEC" w:rsidRPr="00511364" w:rsidRDefault="00074CEC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Вимоги до проекту:</w:t>
      </w:r>
    </w:p>
    <w:p w:rsidR="00074CEC" w:rsidRPr="00511364" w:rsidRDefault="00074CEC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Реалізація проекту повинна здійснюватись в межах одного календарного року;</w:t>
      </w:r>
    </w:p>
    <w:p w:rsidR="00074CEC" w:rsidRPr="00511364" w:rsidRDefault="00074CEC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Реалізація проекту має бути в компетенції органу місцевого самоврядування;</w:t>
      </w:r>
    </w:p>
    <w:p w:rsidR="00074CEC" w:rsidRPr="00511364" w:rsidRDefault="00074CEC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Проект повинен реалізовуватися на території </w:t>
      </w:r>
      <w:r w:rsidRPr="00511364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Сторожинецької міської</w:t>
      </w: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ОТГ;</w:t>
      </w:r>
    </w:p>
    <w:p w:rsidR="00074CEC" w:rsidRPr="00511364" w:rsidRDefault="00074CEC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Сфера реалізації проекту повинна бути публічною.</w:t>
      </w:r>
    </w:p>
    <w:p w:rsidR="00074CEC" w:rsidRPr="00511364" w:rsidRDefault="00074CEC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У рамках Бюджету участі не можуть прийматися до розгляду наступні проекти, які:</w:t>
      </w:r>
    </w:p>
    <w:p w:rsidR="00074CEC" w:rsidRPr="00511364" w:rsidRDefault="00074CEC" w:rsidP="00511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носять фрагментарний характер (виконання одного з елементів вимагатиме прийняття подальших елементів);</w:t>
      </w:r>
    </w:p>
    <w:p w:rsidR="00074CEC" w:rsidRPr="00511364" w:rsidRDefault="00074CEC" w:rsidP="0051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суперечать діючим програмам Сторожинецької міської ОТГ або дублюють завдання, які передбачені цими програмами на поточний рік;</w:t>
      </w:r>
    </w:p>
    <w:p w:rsidR="00074CEC" w:rsidRPr="00511364" w:rsidRDefault="00074CEC" w:rsidP="0051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суперечать чинному законодавству України;</w:t>
      </w:r>
    </w:p>
    <w:p w:rsidR="00074CEC" w:rsidRPr="00511364" w:rsidRDefault="00074CEC" w:rsidP="0051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передбачають витрати на утримання та обслуговування, що перевищують вартість реалізації проекту.</w:t>
      </w:r>
    </w:p>
    <w:p w:rsidR="00074CEC" w:rsidRPr="00511364" w:rsidRDefault="00074CEC" w:rsidP="00511364">
      <w:pPr>
        <w:numPr>
          <w:ilvl w:val="1"/>
          <w:numId w:val="9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 має бути поданий автором проекту відповідно до форми та підтриманий мінімальною кількістю жителів - 10 осіб (окрім автора проекту).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3.5.1 Форма для подання проекту доступна в електронній версії на офіційному веб-сайті Сторожинецької міської ради ОТГ.</w:t>
      </w:r>
    </w:p>
    <w:p w:rsidR="00074CEC" w:rsidRPr="00511364" w:rsidRDefault="00074CEC" w:rsidP="00511364">
      <w:pPr>
        <w:numPr>
          <w:ilvl w:val="1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Кожен житель Сторожинецької міської ОТГ може проголосувати не більше ніж за 1 проект.</w:t>
      </w:r>
    </w:p>
    <w:p w:rsidR="00074CEC" w:rsidRPr="00511364" w:rsidRDefault="00074CEC" w:rsidP="00511364">
      <w:pPr>
        <w:numPr>
          <w:ilvl w:val="1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Проекти подаються протягом 30-45 днів з моменту оголошення початку подачі проектів: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безпосередньо до Сторожинецької міської ради ОТГ;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поштою за адресою: 59000, місто Сторожинець, вул. Грушевського,6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електронною поштою на: </w:t>
      </w:r>
      <w:hyperlink r:id="rId7" w:history="1"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stor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-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misk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-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r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@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ukr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.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net</w:t>
        </w:r>
      </w:hyperlink>
      <w:r w:rsidRPr="0051136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у вигляді відсканованого оригіналу документу.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Листи отримані з доменів 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rambler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не розглядаються.</w:t>
      </w:r>
    </w:p>
    <w:p w:rsidR="00074CEC" w:rsidRPr="00511364" w:rsidRDefault="00074CEC" w:rsidP="0051136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проекту обов’язково додається кошторис витрат (бюджет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>проекту).</w:t>
      </w:r>
    </w:p>
    <w:p w:rsidR="00074CEC" w:rsidRPr="00511364" w:rsidRDefault="00074CEC" w:rsidP="0051136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Пріоритетні напрямки проектів: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ind w:left="567" w:firstLine="491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Підтримка ініціатив у сфері благоустрою громади.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реалізація заходів щодо формування поведінки дбайливого ставлення до навколишнього природного середовища та створення умов, які сприяють чистоті й красі своєї громади (ремонт, будівництво дитячих і спортивних майданчиків; благоустрій парків, скверів; ремонт пам'ятників; ліквідація стихійних звалищ тощо), а також іншу діяльність, не обмежуючись даним переліком; 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ind w:left="567" w:firstLine="491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Підтримка ініціатив у сфері пропаганди здорового способу життя та популяризації занять спортом.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проведення просвітницьких акцій серед підлітків, спрямованих на роз'яснення проблеми поширення ВІЛ-інфекції, проблеми наркоманії, шкоди куріння та пропаганду здорового способу життя; залучення в спорт дітей, молоді та старшого покоління і впровадження інноваційних форм пропаганди здорового способу життя; організація змістовного дозвілля для дітей шкільного віку в позаурочний та канікулярний час, організація спортивних заходів, турнірів, змагань та інших громадських ініціатив у цій сфері).</w:t>
      </w:r>
    </w:p>
    <w:p w:rsidR="00074CEC" w:rsidRPr="00511364" w:rsidRDefault="00074CEC" w:rsidP="00511364">
      <w:pPr>
        <w:spacing w:after="0" w:line="240" w:lineRule="auto"/>
        <w:ind w:left="567" w:firstLine="49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- Підтримка шкільних ініціатив направлених  та розвиток освітніх, культурних і творчих напрямків.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(Діяльність у даному напрямку може включати в себе наступне: просування мистецтва, створення умов для самовираження дітей, молоді (арт-проекти,арт-клуби тощо),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 само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іншу діяльність,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обмежуючись цим переліком.</w:t>
      </w:r>
    </w:p>
    <w:p w:rsidR="00074CEC" w:rsidRPr="00511364" w:rsidRDefault="00074CEC" w:rsidP="00511364">
      <w:pPr>
        <w:spacing w:after="0" w:line="240" w:lineRule="auto"/>
        <w:ind w:left="567" w:firstLine="49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Підтримка громадських ініціатив у сфері енергоефективності та енергозбереження.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роботу по активізації громадськості у напрямі використання енергоефективних та енергозберігаючих технологій, але не обмежуватися даним переліком).</w:t>
      </w: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4. Перевірка проекту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4.1. Подані заповнені форми проектів попередньо перевіряються відповідальними працівниками на правильність заповнення.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4.2. У разі, якщо форма заповнена не повністю або з помилками, відповідальні працівники по телефону або електронною поштою повідомляють про це автора/авторів проекту з проханням надати необхідну інформацію або внести корективи протягом 5 днів з дня отримання такої інформації.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4.3. Для здійснення комплексного аналізу кожного проекту та оцінки прийнятності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 можливості впровадження, зазначені форми проектів відповідальними працівниками подаються до робочої групи, яка створюється розпорядженням голови Сторожинецької міської ОТГ.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4.4. Робоча група протягом 10 днів з дня отримання заповнених форм проектів здійснює аналіз та заповнює картку аналізу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та надає обґрунтовані рекомендації щодо внесення проекту в бланк для голосування.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4.5. У разі, якщо у формі проекту не має повної інформації, необхідної для його аналізу та оцінки (або інформація вимагає уточнення), по телефону або електронною поштою члени Робочої групи відповідно до повноважень звертаються до автора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з проханням надати необхідну інформацію протягом 5 днів.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4.6. Члени Робочої групи відразу передають відповідальним працівникам заповнені карти аналізу проектів.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4.7. Внесення будь-яких змін в проекти, зокрема, зміни локалізації чи об’єднання з іншими проектами, можливі лише за згодою авторів даних проектів.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4.8. За результатами роботи Робочої групи відповідальні працівники складають списки позитивно і негативно оцінених проектів.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4.9. Списки з проектами, реалізація яких відбуватиметься за рахунок коштів Бюджету участі і які отримали позитивну або ж негативну оцінку (з аргументованими мотивами відмови), розміщуються на веб-сайті Сторожинецької міської ОТГ.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4.10. Відскановані подані форми проектів розміщуються на офіційному веб-сайті Сторожинецької міської ради ОТГ.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4.11. Відскановані заповнені карти аналізу проектів розміщуються на офіційному веб-сайті Сторожинецької міської ради ОТГ.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5. Голосування за проекти та підрахунок результатів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5.1. Вибір проектів, які визначені для голосування, здійснюють жителі, які постійно проживають у межах Сторожинецької міської ради ОТГ, шляхом відкритого голосування у пунктах голосування, які визначаються розпорядженням голови та Інтернет - голосуванням (за наявності технічних можливостей).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5.2. Перелік пунктів голосування (місць для голосування) має бути оприлюднений не пізніше як за 14 днів до дня початку голосування на веб-сайті Сторожинецької міської ОТГ.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5.3. В пунктах голосування можна отримати перелік проектів, які визначені для голосування.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5.4. Вибір проектів, які визначені для голосування, за технічної можливості може здійснюватися і в електронній версії голосування на веб-сайті Сторожинецької міської ОТГ.</w:t>
      </w:r>
    </w:p>
    <w:p w:rsidR="00074CEC" w:rsidRPr="00511364" w:rsidRDefault="00074CEC" w:rsidP="00511364">
      <w:pPr>
        <w:numPr>
          <w:ilvl w:val="1"/>
          <w:numId w:val="12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відбувається шляхом: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у рубриці «Бюджет участі» на веб-сайті Сторожинецької міської ОТГ.</w:t>
      </w:r>
    </w:p>
    <w:p w:rsidR="00074CEC" w:rsidRPr="00511364" w:rsidRDefault="00074CEC" w:rsidP="0051136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у спеціально-визначених пунктах голосування шляхом заповнення бланку та встановлення спеціальної скриньки.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5.6. Встановлення підсумків голосування передбачає підрахунок балів, відданих за кожний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окремо, реалізація якого відбуватиметься за рахунок коштів Бюджету участі та подальше укладання списків з результатами голосування.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5.7. Реалізовуватимуться ті проекти, які набрали найбільшу кількість балів за рейтинговою системою (1 голос - 1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>бал).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5.8. Якщо в результаті голосування два або більше відібраних проекти будуть суперечити один одному, приймається той проект, який отримав найбільшу підтримку.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5.9. За результатами підрахунку голосів визначаються переможці по кожному населеному пункту окремо, та додатково буде визначено переможця по громаді в цілому за результатами набрання найбільшої кількості балів. </w:t>
      </w: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6. Реалізація проектів та оцінка процесу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6.1. Проекти починають реалізовуватися відповідно до графіку реалізації Бюджету участі у Сторожинецькій міській ОТГ.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6.2. Організатором та/або виконавцем та/або інвестором щодо реалізації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проекту,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який переміг, може виступати переможець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проекту,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але фінансування проекту залишається за Сторожинецькою міською радою.</w:t>
      </w:r>
    </w:p>
    <w:p w:rsidR="00074CEC" w:rsidRPr="00511364" w:rsidRDefault="00074CEC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6.3. Автор проекту відповідає за реалізацію проекту у відповідності до видів діяльності представлених у Заявці проекту та контролює виконання свого проекту на будь-якому етапі.</w:t>
      </w:r>
    </w:p>
    <w:p w:rsidR="00074CEC" w:rsidRPr="00511364" w:rsidRDefault="00074CEC" w:rsidP="00511364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4CEC" w:rsidRPr="00511364" w:rsidRDefault="00074CEC" w:rsidP="005113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міської ради </w:t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  <w:t>І. Матейчук</w:t>
      </w:r>
    </w:p>
    <w:p w:rsidR="00074CEC" w:rsidRPr="00D137A6" w:rsidRDefault="00074CEC" w:rsidP="00FA3EC3">
      <w:pPr>
        <w:rPr>
          <w:lang w:val="uk-UA"/>
        </w:rPr>
      </w:pPr>
    </w:p>
    <w:sectPr w:rsidR="00074CEC" w:rsidRPr="00D137A6" w:rsidSect="002F3AFF">
      <w:pgSz w:w="11909" w:h="16834"/>
      <w:pgMar w:top="1440" w:right="852" w:bottom="89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36674798"/>
    <w:multiLevelType w:val="multilevel"/>
    <w:tmpl w:val="A26A66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1047732"/>
    <w:multiLevelType w:val="multilevel"/>
    <w:tmpl w:val="10DE983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2586801"/>
    <w:multiLevelType w:val="hybridMultilevel"/>
    <w:tmpl w:val="D690E124"/>
    <w:lvl w:ilvl="0" w:tplc="DB42ED5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C3950CA"/>
    <w:multiLevelType w:val="multilevel"/>
    <w:tmpl w:val="461623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F0A5A1E"/>
    <w:multiLevelType w:val="multilevel"/>
    <w:tmpl w:val="DBD63D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2">
    <w:nsid w:val="77141731"/>
    <w:multiLevelType w:val="multilevel"/>
    <w:tmpl w:val="AAA4C2B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2540B3"/>
    <w:multiLevelType w:val="multilevel"/>
    <w:tmpl w:val="95987AF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66"/>
    <w:rsid w:val="00010B25"/>
    <w:rsid w:val="000217C1"/>
    <w:rsid w:val="000568D3"/>
    <w:rsid w:val="00074CEC"/>
    <w:rsid w:val="000C700E"/>
    <w:rsid w:val="00116E57"/>
    <w:rsid w:val="001832C2"/>
    <w:rsid w:val="001A73A5"/>
    <w:rsid w:val="00213166"/>
    <w:rsid w:val="00273B9C"/>
    <w:rsid w:val="002933D0"/>
    <w:rsid w:val="00295D97"/>
    <w:rsid w:val="002F3AFF"/>
    <w:rsid w:val="0035119E"/>
    <w:rsid w:val="00385390"/>
    <w:rsid w:val="003F0B4B"/>
    <w:rsid w:val="003F1D67"/>
    <w:rsid w:val="00463AAE"/>
    <w:rsid w:val="00464F9B"/>
    <w:rsid w:val="004C402D"/>
    <w:rsid w:val="004E10E7"/>
    <w:rsid w:val="00511364"/>
    <w:rsid w:val="00515BB9"/>
    <w:rsid w:val="00527769"/>
    <w:rsid w:val="00610CA7"/>
    <w:rsid w:val="006B7DD8"/>
    <w:rsid w:val="00785B03"/>
    <w:rsid w:val="007D2260"/>
    <w:rsid w:val="007F6FA5"/>
    <w:rsid w:val="00853FEC"/>
    <w:rsid w:val="00856A68"/>
    <w:rsid w:val="00867B04"/>
    <w:rsid w:val="00897E42"/>
    <w:rsid w:val="008C6DD4"/>
    <w:rsid w:val="00953C09"/>
    <w:rsid w:val="00963D86"/>
    <w:rsid w:val="00A92CD1"/>
    <w:rsid w:val="00B02F35"/>
    <w:rsid w:val="00B265EF"/>
    <w:rsid w:val="00D137A6"/>
    <w:rsid w:val="00D53002"/>
    <w:rsid w:val="00D95B5D"/>
    <w:rsid w:val="00E13138"/>
    <w:rsid w:val="00E25FC4"/>
    <w:rsid w:val="00F465B3"/>
    <w:rsid w:val="00F70601"/>
    <w:rsid w:val="00FA3EC3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CA7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0217C1"/>
    <w:rPr>
      <w:lang w:eastAsia="en-US"/>
    </w:rPr>
  </w:style>
  <w:style w:type="paragraph" w:styleId="ListParagraph">
    <w:name w:val="List Paragraph"/>
    <w:basedOn w:val="Normal"/>
    <w:uiPriority w:val="99"/>
    <w:qFormat/>
    <w:rsid w:val="00D137A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D137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r-misk-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2158</Words>
  <Characters>12307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Андрій Дранчук</dc:creator>
  <cp:keywords/>
  <dc:description/>
  <cp:lastModifiedBy>User</cp:lastModifiedBy>
  <cp:revision>4</cp:revision>
  <cp:lastPrinted>2018-12-26T13:58:00Z</cp:lastPrinted>
  <dcterms:created xsi:type="dcterms:W3CDTF">2018-12-13T12:40:00Z</dcterms:created>
  <dcterms:modified xsi:type="dcterms:W3CDTF">2018-12-26T13:58:00Z</dcterms:modified>
</cp:coreProperties>
</file>