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A6" w:rsidRPr="00D137A6" w:rsidRDefault="00511364" w:rsidP="00D137A6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9264">
            <v:imagedata r:id="rId6" o:title=""/>
            <w10:wrap type="square" side="right"/>
          </v:shape>
          <o:OLEObject Type="Embed" ProgID="PBrush" ShapeID="_x0000_s1026" DrawAspect="Content" ObjectID="_1606213450" r:id="rId7"/>
        </w:object>
      </w:r>
      <w:r w:rsidR="00D137A6" w:rsidRPr="00D137A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</w:t>
      </w:r>
    </w:p>
    <w:p w:rsidR="00D137A6" w:rsidRPr="00D137A6" w:rsidRDefault="00D137A6" w:rsidP="00D137A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D137A6" w:rsidRPr="00D137A6" w:rsidRDefault="00D137A6" w:rsidP="00D137A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D137A6" w:rsidRPr="00D137A6" w:rsidRDefault="00D137A6" w:rsidP="00D137A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СТОРОЖИНЕЦЬКОГО РАЙОНУ</w:t>
      </w:r>
    </w:p>
    <w:p w:rsidR="00D137A6" w:rsidRPr="00D137A6" w:rsidRDefault="00D137A6" w:rsidP="00D137A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37A6" w:rsidRPr="00D137A6" w:rsidRDefault="00D137A6" w:rsidP="00D137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D137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VІ сесія VII скликання</w:t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37A6" w:rsidRPr="00D137A6" w:rsidRDefault="00D137A6" w:rsidP="00D137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D137A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D137A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    -26/2018</w:t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137A6" w:rsidRPr="00D137A6" w:rsidTr="00E25FC4">
        <w:tc>
          <w:tcPr>
            <w:tcW w:w="4261" w:type="dxa"/>
          </w:tcPr>
          <w:p w:rsidR="00D137A6" w:rsidRPr="00D137A6" w:rsidRDefault="00D137A6" w:rsidP="00D137A6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 грудня 2018 року</w:t>
            </w:r>
          </w:p>
        </w:tc>
        <w:tc>
          <w:tcPr>
            <w:tcW w:w="5203" w:type="dxa"/>
          </w:tcPr>
          <w:p w:rsidR="00D137A6" w:rsidRPr="00D137A6" w:rsidRDefault="00D137A6" w:rsidP="00D1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1364" w:rsidRPr="00511364" w:rsidRDefault="00D137A6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затвердження  </w:t>
      </w:r>
      <w:r w:rsidR="00511364" w:rsidRPr="0051136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Положення Про Бюджет участі</w:t>
      </w:r>
      <w:r w:rsidR="0051136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511364" w:rsidRPr="0051136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</w:p>
    <w:p w:rsidR="00D137A6" w:rsidRPr="00D137A6" w:rsidRDefault="00D137A6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</w:p>
    <w:p w:rsidR="00D137A6" w:rsidRPr="00D137A6" w:rsidRDefault="00D137A6" w:rsidP="00D137A6">
      <w:pPr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16 частини 1 статті 43 Закону України “Про місцеве самоврядування в Україні”, </w:t>
      </w:r>
    </w:p>
    <w:p w:rsidR="00D137A6" w:rsidRPr="00D137A6" w:rsidRDefault="00D137A6" w:rsidP="00D137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D137A6" w:rsidRPr="00D137A6" w:rsidRDefault="00511364" w:rsidP="00511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bookmarkStart w:id="0" w:name="_GoBack"/>
      <w:bookmarkEnd w:id="0"/>
      <w:r w:rsidR="00D137A6" w:rsidRPr="00D137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1. Затвердити </w:t>
      </w:r>
      <w:r w:rsidRPr="005113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Положення Про Бюджет участі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113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  <w:r w:rsidR="00D137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137A6" w:rsidRPr="00D137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що додається. </w:t>
      </w:r>
    </w:p>
    <w:p w:rsidR="00D137A6" w:rsidRPr="00D137A6" w:rsidRDefault="00D137A6" w:rsidP="00D137A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</w:t>
      </w:r>
      <w:r w:rsidRPr="00D13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відділу Сторожинецької міської ради Сторожинецького району Чернівецької області  (</w:t>
      </w:r>
      <w:proofErr w:type="spellStart"/>
      <w:r w:rsidRPr="00D13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В.Добра</w:t>
      </w:r>
      <w:proofErr w:type="spellEnd"/>
      <w:r w:rsidRPr="00D13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при формуванні міського бюджету, передбачити фінансування витрат, пов’язаних з виконанням Програми. </w:t>
      </w:r>
    </w:p>
    <w:p w:rsidR="00D137A6" w:rsidRDefault="00D137A6" w:rsidP="00D13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Контроль за виконання цього рішення покласти на першого заступника міського голови  </w:t>
      </w:r>
      <w:proofErr w:type="spellStart"/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Брижака</w:t>
      </w:r>
      <w:proofErr w:type="spellEnd"/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П.М та постійну комісію з питань фінансів, соціально-економічного розвитку, планування, бюджету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</w:t>
      </w:r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(С. </w:t>
      </w:r>
      <w:proofErr w:type="spellStart"/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Войцицький</w:t>
      </w:r>
      <w:proofErr w:type="spellEnd"/>
      <w:r w:rsidRPr="00D13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D137A6" w:rsidRPr="00D137A6" w:rsidRDefault="00D137A6" w:rsidP="00D13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           М. Карлійчук</w:t>
      </w: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7A6" w:rsidRPr="00D137A6" w:rsidRDefault="00D137A6" w:rsidP="00D1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7C1" w:rsidRPr="00D137A6" w:rsidRDefault="00D137A6" w:rsidP="005113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137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Pr="00D137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137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137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137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568D3" w:rsidRPr="00D13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1364" w:rsidRPr="00511364" w:rsidRDefault="00511364" w:rsidP="005113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lastRenderedPageBreak/>
        <w:t xml:space="preserve">ЗАТВЕРДЖЕНО </w:t>
      </w:r>
    </w:p>
    <w:p w:rsidR="00511364" w:rsidRPr="00511364" w:rsidRDefault="00511364" w:rsidP="005113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_____________________________</w:t>
      </w:r>
    </w:p>
    <w:p w:rsidR="00511364" w:rsidRPr="00511364" w:rsidRDefault="00511364" w:rsidP="005113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_____________________________</w:t>
      </w:r>
    </w:p>
    <w:p w:rsidR="00511364" w:rsidRPr="00511364" w:rsidRDefault="00511364" w:rsidP="005113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_____________________________</w:t>
      </w:r>
    </w:p>
    <w:p w:rsidR="00511364" w:rsidRPr="00511364" w:rsidRDefault="00511364" w:rsidP="005113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_____________________________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bookmark0"/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 Про Бюджет участі</w:t>
      </w:r>
      <w:bookmarkEnd w:id="1"/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 Сторожинецькій міській об’єднаній територіальній громаді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Положенні застосовуються такі терміни: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Бюджет участі - це процес взаємодії органів місцевого самоврядування з громадськістю, направлений на залучення жителів, які постійно проживають у межах Сторожинецької ОТГ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вільного доступу до інформації, а також забезпечення відкритості та прозорості діяльності Сторожинецької міської ради ОТГ;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робоча група - група фахівців із представників апарату Сторожинецької міської ради ОТГ, яка створюється розпорядженням голови Сторожинецької міської ОТГ для аналізу проектів;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відповідальні працівники - працівники апарату Сторожинецької міської ради ОТГ, які координують питання функціонування Бюджету участі, здійснюють підготовку проектів нормативно-правових актів та забезпечують співпрацю з громадськістю щодо питань Бюджету участі;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проект - пропозиція, яка подана автором відповідно до форми подання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відповідає вимогам, які визначені Положенням про Бюджет участі у Сторожинецькій міській об’єднаній територіальній громаді;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автор - повнолітній дієздатний громадянин України віком від 14 років, який постійно проживає у межах Сторожинецької міської ОТГ;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карта аналізу проекту - формуляр, який заповнюється робочою групою;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пункти голосування - місця для проведення голосування, які визначені розпорядженням голови Сторожинецької міської ОТГ;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голосування - процес визначення жителями проектів- переможців серед поданих проектів у електронному (за наявності технічних можливостей) та паперовому вигляді (у пункті для голосування);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встановлення підсумків голосування - підрахунок голосів, поданих за кожен із проектів відповідно до онлайн-голосування (за наявності технічних можливостей) та заповнених паперових бланків для голосування;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проекти-переможці - проекти, що відповідно до встановлення підсумків голосування набрали найбільшу кількість балів.</w:t>
      </w:r>
    </w:p>
    <w:p w:rsidR="00511364" w:rsidRPr="00511364" w:rsidRDefault="00511364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головні розпорядники бюджетних коштів - органи Сторожинецької міської ради ОТГ в особі їх керівників, які отримують повноваження шляхом встановлення бюджетних призначень для виконання проектів - переможців.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Розділ 1. Загальні положення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Положення про Бюджет участі в Сторожинецькій міській об’єднаній територіальній громаді (далі – Сторожинецька ОТГ) визначає основні вимоги до організації і проведення процесу бюджету участі у Сторожинецькій міській ОТГ.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 участі - це процес взаємодії органів місцевого самоврядування з громадськістю, направлений на включення жителів, які постійно проживають у межах Сторожинецька ОТГ,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для вільного доступу до інформації, а також забезпечення відкритості та прозорості діяльності Сторожинецької міської ради ОТГ.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Процес Бюджету участі - процес складання, розгляду, відбору, затвердження, виконання проектів, звітування про їх виконання, а також контролю за дотриманням бюджетного законодавства, який триває календарний рік.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Проведення Бюджету участі має сприяти налагодженню системного діалогу влади Сторожинецької міської ОТГ із жителями, які постійно проживають на території Сторожинецької міської ОТГ, створенню умов для їх участі у реалізації повноважень, визначених Законом України «Про місцеве самоврядування в Україні».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Участь у функціонуванні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партиципаторного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бюджетування можуть брати ініціативні жителі та групи громадян, громадські об’єднання та організації, інші інституції громадянського суспільства, які ведуть свою діяльність на території Сторожинецької міської ОТГ.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Фінансування Бюджету участі в Сторожинецькій міській ОТГ здійснюється за рахунок коштів бюджету Сторожинецької міської ради ОТГ.</w:t>
      </w:r>
    </w:p>
    <w:p w:rsidR="00511364" w:rsidRPr="00511364" w:rsidRDefault="00511364" w:rsidP="005113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Загальний обсяг Бюджету участі визначається Сторожинецькою міською радою на відповідний рік згідно цільової програми «Бюджет участі у Сторожинецькій міській ОТГ» у межах відповідних бюджетних асигнувань. Бюджет участі щороку може збільшуватись відповідно до бюджетних надходжень.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1.8. Бюджет участі Сторожинецької міської ОТГ на 2019 рік становить не менше 250,00 тисяч гривень (двісті п’ятдесят тисяч гривень).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1.9. Розмір коштів на фінансування одного проекту в рамках Бюджету участі на 2018 рік не повинен перевищувати 50,0 тисяч гривень (п’ятдесят тисяч гривень). Максимальна сума коштів на один населений пункт – 50 тис. грн. Максимальний розмір коштів на один проект кожного наступного року може змінюватися.</w:t>
      </w:r>
    </w:p>
    <w:p w:rsidR="00511364" w:rsidRPr="00511364" w:rsidRDefault="00511364" w:rsidP="00511364">
      <w:pPr>
        <w:numPr>
          <w:ilvl w:val="1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Інформація про Бюджет участі Сторожинецької міської ОТГ оприлюднюється на офіційному веб-сайті Сторожинецької міської ради.</w:t>
      </w:r>
    </w:p>
    <w:p w:rsidR="00511364" w:rsidRPr="00511364" w:rsidRDefault="00511364" w:rsidP="00511364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511364" w:rsidRPr="00511364" w:rsidRDefault="00511364" w:rsidP="0051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Розділ 2. Інформаційна та </w:t>
      </w:r>
      <w:proofErr w:type="spellStart"/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промоційна</w:t>
      </w:r>
      <w:proofErr w:type="spellEnd"/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кампанія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 Інформаційна кампанія Бюджету участі в Сторожинецькій міській ОТГ проводиться постійно.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 Інформаційну кампанію проводять відповідальні працівники, а також апарат Сторожинецької міської ради ОТГ.</w:t>
      </w:r>
    </w:p>
    <w:p w:rsidR="00511364" w:rsidRPr="00511364" w:rsidRDefault="00511364" w:rsidP="00511364">
      <w:pPr>
        <w:numPr>
          <w:ilvl w:val="1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Інформаційна та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промоційна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кампанія ділиться на чотири етапи:</w:t>
      </w:r>
    </w:p>
    <w:p w:rsidR="00511364" w:rsidRPr="00511364" w:rsidRDefault="00511364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ознайомлення мешканців з основними положеннями та принципами Бюджету участі, а також заохочування мешканців до подання проектів;</w:t>
      </w:r>
    </w:p>
    <w:p w:rsidR="00511364" w:rsidRPr="00511364" w:rsidRDefault="00511364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інформування про хронологію, етапи і дати проведення заходів;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2.3.3 представлення отриманих проектів та заохочення до участі у голосуванні;</w:t>
      </w:r>
    </w:p>
    <w:p w:rsidR="00511364" w:rsidRPr="00511364" w:rsidRDefault="00511364" w:rsidP="00511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розповсюдження інформації стосовно перебігу та результатів процесу запровадження Бюджету участі.</w:t>
      </w: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2" w:name="bookmark1"/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Розділ 3. Подання проектів</w:t>
      </w:r>
      <w:bookmarkEnd w:id="2"/>
    </w:p>
    <w:p w:rsidR="00511364" w:rsidRPr="00511364" w:rsidRDefault="00511364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 можуть подавати жителі, які постійно проживають у межах Сторожинецької міської ОТГ та яким виповнилося 14 років.</w:t>
      </w:r>
    </w:p>
    <w:p w:rsidR="00511364" w:rsidRPr="00511364" w:rsidRDefault="00511364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Назва проекту повинна бути викладена лаконічно, в межах одного речення. Оригінальні назви не повинні суперечити їх основній меті.</w:t>
      </w:r>
    </w:p>
    <w:p w:rsidR="00511364" w:rsidRPr="00511364" w:rsidRDefault="00511364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Вимоги до проекту:</w:t>
      </w:r>
    </w:p>
    <w:p w:rsidR="00511364" w:rsidRPr="00511364" w:rsidRDefault="00511364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Реалізація проекту повинна </w:t>
      </w:r>
      <w:proofErr w:type="spellStart"/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здійснюватись</w:t>
      </w:r>
      <w:proofErr w:type="spellEnd"/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в межах одного календарного року;</w:t>
      </w:r>
    </w:p>
    <w:p w:rsidR="00511364" w:rsidRPr="00511364" w:rsidRDefault="00511364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Реалізація проекту має бути в компетенції органу місцевого самоврядування;</w:t>
      </w:r>
    </w:p>
    <w:p w:rsidR="00511364" w:rsidRPr="00511364" w:rsidRDefault="00511364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Проект повинен реалізовуватися на території </w:t>
      </w:r>
      <w:r w:rsidRPr="00511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Сторожинецької міської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ОТГ;</w:t>
      </w:r>
    </w:p>
    <w:p w:rsidR="00511364" w:rsidRPr="00511364" w:rsidRDefault="00511364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Сфера реалізації проекту повинна бути публічною.</w:t>
      </w:r>
    </w:p>
    <w:p w:rsidR="00511364" w:rsidRPr="00511364" w:rsidRDefault="00511364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рамках Бюджету участі не можуть прийматися до розгляду наступні проекти, які:</w:t>
      </w:r>
    </w:p>
    <w:p w:rsidR="00511364" w:rsidRPr="00511364" w:rsidRDefault="00511364" w:rsidP="0051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носять фрагментарний характер (виконання одного з елементів вимагатиме прийняття подальших елементів);</w:t>
      </w:r>
    </w:p>
    <w:p w:rsidR="00511364" w:rsidRPr="00511364" w:rsidRDefault="00511364" w:rsidP="0051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суперечать діючим програмам Сторожинецької міської ОТГ або дублюють завдання, які передбачені цими програмами на поточний рік;</w:t>
      </w:r>
    </w:p>
    <w:p w:rsidR="00511364" w:rsidRPr="00511364" w:rsidRDefault="00511364" w:rsidP="0051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суперечать чинному законодавству України;</w:t>
      </w:r>
    </w:p>
    <w:p w:rsidR="00511364" w:rsidRPr="00511364" w:rsidRDefault="00511364" w:rsidP="0051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передбачають витрати на утримання та обслуговування, що перевищують вартість реалізації проекту.</w:t>
      </w:r>
    </w:p>
    <w:p w:rsidR="00511364" w:rsidRPr="00511364" w:rsidRDefault="00511364" w:rsidP="00511364">
      <w:pPr>
        <w:numPr>
          <w:ilvl w:val="1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 має бути поданий автором проекту відповідно до форми та підтриманий мінімальною кількістю жителів - 10 осіб (окрім автора проекту).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3.5.1 Форма для подання проекту доступна в електронній версії на офіційному веб-сайті Сторожинецької міської ради ОТГ.</w:t>
      </w:r>
    </w:p>
    <w:p w:rsidR="00511364" w:rsidRPr="00511364" w:rsidRDefault="00511364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Кожен житель Сторожинецької міської ОТГ може проголосувати не більше ніж за 1 проект.</w:t>
      </w:r>
    </w:p>
    <w:p w:rsidR="00511364" w:rsidRPr="00511364" w:rsidRDefault="00511364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Проекти подаються протягом 30-45 днів з моменту оголошення початку подачі проектів: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безпосередньо до Сторожинецької міської ради ОТГ;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поштою за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59000, місто Сторожинець, вул. Грушевського,6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електронною поштою на: </w:t>
      </w:r>
      <w:hyperlink r:id="rId8" w:history="1"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uk-UA"/>
          </w:rPr>
          <w:t>stor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uk-UA"/>
          </w:rPr>
          <w:t>misk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uk-UA"/>
          </w:rPr>
          <w:t>r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@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uk-UA"/>
          </w:rPr>
          <w:t>ukr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.</w:t>
        </w:r>
        <w:r w:rsidRPr="005113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uk-UA"/>
          </w:rPr>
          <w:t>net</w:t>
        </w:r>
      </w:hyperlink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вигляді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відсканованого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оригіналу документу.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Листи отримані з доменів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rambler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розглядаються.</w:t>
      </w:r>
    </w:p>
    <w:p w:rsidR="00511364" w:rsidRPr="00511364" w:rsidRDefault="00511364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проекту обов’язково додається кошторис витрат (бюджет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проекту).</w:t>
      </w:r>
    </w:p>
    <w:p w:rsidR="00511364" w:rsidRPr="00511364" w:rsidRDefault="00511364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Пріоритетні напрямки проектів: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благоустрою громади.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реалізація заходів щодо формування поведінки дбайливого ставлення до навколишнього природного середовища та створення умов, які сприяють чистоті й красі своєї громади (ремонт, будівництво дитячих і спортивних майданчиків; благоустрій парків, скверів; ремонт пам'ятників; ліквідація стихійних звалищ тощо), а також іншу діяльність, не обмежуючись даним переліком; 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пропаганди здорового способу життя та популяризації занять спортом.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проведення просвітницьких акцій серед підлітків, спрямованих на роз'яснення проблеми поширення ВІЛ-інфекції, проблеми наркоманії, шкоди куріння та пропаганду здорового способу життя; залучення в спорт дітей, молоді та старшого покоління і впровадження інноваційних форм пропаганди здорового способу життя; організація змістовного дозвілля для дітей шкільного віку в позаурочний та канікулярний час, організація спортивних заходів, турнірів, змагань та інших громадських ініціатив у цій сфері).</w:t>
      </w:r>
    </w:p>
    <w:p w:rsidR="00511364" w:rsidRPr="00511364" w:rsidRDefault="00511364" w:rsidP="00511364">
      <w:pPr>
        <w:spacing w:after="0" w:line="240" w:lineRule="auto"/>
        <w:ind w:left="567" w:firstLine="4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- Підтримка шкільних ініціатив направлених  та розвиток освітніх, культурних і творчих напрямків.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(Діяльність у даному напрямку може включати в себе наступне: просування мистецтва, створення умов для самовираження дітей, молоді (арт-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проекти,арт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-клуби тощо),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само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іншу діяльність,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обмежуючись цим переліком.</w:t>
      </w:r>
    </w:p>
    <w:p w:rsidR="00511364" w:rsidRPr="00511364" w:rsidRDefault="00511364" w:rsidP="00511364">
      <w:pPr>
        <w:spacing w:after="0" w:line="240" w:lineRule="auto"/>
        <w:ind w:left="567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Підтримка громадських ініціатив у сфері енергоефективності та енергозбереження.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роботу по активізації громадськості у напрямі використання енергоефективних та енергозберігаючих технологій, але не обмежуватися даним переліком).</w:t>
      </w: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Розділ 4. Перевірка проекту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4.1. Подані заповнені форми проектів попередньо перевіряються відповідальними працівниками на правильність заповнення.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4.2. У разі, якщо форма заповнена не повністю або з помилками, відповідальні працівники по телефону або електронною поштою повідомляють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 це автора/авторів проекту з проханням надати необхідну інформацію або внести корективи протягом 5 днів з дня отримання такої інформації.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4.3. Для здійснення комплексного аналізу кожного проекту та оцінки прийнятності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можливості впровадження, зазначені форми проектів відповідальними працівниками подаються до робочої групи, яка створюється розпорядженням голови Сторожинецької міської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4.4. Робоча група протягом 10 днів з дня отримання заповнених форм проектів здійснює аналіз та заповнює картку аналізу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надає обґрунтовані рекомендації щодо внесення проекту в бланк для голосування.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4.5. У разі, якщо у формі проекту не має повної інформації, необхідної для його аналізу та оцінки (або інформація вимагає уточнення), по телефону або електронною поштою члени Робочої групи відповідно до повноважень звертаються до автора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проханням надати необхідну інформацію протягом 5 днів.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4.6. Члени Робочої групи відразу передають відповідальним працівникам заповнені карти аналізу проектів.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4.7. Внесення будь-яких змін в проекти, зокрема, зміни локалізації чи об’єднання з іншими проектами, можливі лише за згодою авторів даних проектів.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4.8. За результатами роботи Робочої групи відповідальні працівники складають списки позитивно і негативно оцінених проектів.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4.9. Списки з проектами, реалізація яких відбуватиметься за рахунок коштів Бюджету участі і які отримали позитивну або ж негативну оцінку (з аргументованими мотивами відмови), розміщуються на веб-сайті Сторожинецької міської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4.10.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Відскановані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подані форми проектів розміщуються на офіційному веб-сайті Сторожинецької міської ради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4.11. </w:t>
      </w:r>
      <w:proofErr w:type="spellStart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Відскановані</w:t>
      </w:r>
      <w:proofErr w:type="spellEnd"/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заповнені карти аналізу проектів розміщуються на офіційному веб-сайті Сторожинецької міської ради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Розділ 5. Голосування за проекти та підрахунок результатів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5.1. Вибір проектів, які визначені для голосування, здійснюють жителі, які постійно проживають у межах Сторожинецької міської ради ОТГ, шляхом відкритого голосування у пунктах голосування, які визначаються розпорядженням голови та Інтернет - голосуванням (за наявності технічних можливостей).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5.2. Перелік пунктів голосування (місць для голосування) має бути оприлюднений не пізніше як за 14 днів до дня початку голосування на веб-сайті Сторожинецької міської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5.3. В пунктах голосування можна отримати перелік проектів, які визначені для голосування.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5.4. Вибір проектів, які визначені для голосування, за технічної можливості може здійснюватися і в електронній версії голосування на веб-сайті Сторожинецької міської ОТГ.</w:t>
      </w:r>
    </w:p>
    <w:p w:rsidR="00511364" w:rsidRPr="00511364" w:rsidRDefault="00511364" w:rsidP="00511364">
      <w:pPr>
        <w:numPr>
          <w:ilvl w:val="1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Голосування відбувається шляхом: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голосування у рубриці «Бюджет участі» на веб-сайті Сторожинецької міської ОТГ.</w:t>
      </w:r>
    </w:p>
    <w:p w:rsidR="00511364" w:rsidRPr="00511364" w:rsidRDefault="00511364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голосування у спеціально-визначених пунктах голосування шляхом заповнення бланку та встановлення спеціальної скриньки.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5.6. Встановлення підсумків голосування передбачає підрахунок балів, відданих за кожний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окремо, реалізація якого відбуватиметься за рахунок коштів Бюджету участі та подальше укладання списків з результатами голосування.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5.7. Реалізовуватимуться ті проекти, які набрали найбільшу кількість балів за рейтинговою системою (1 голос - 1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бал).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5.8. Якщо в результаті голосування два або більше відібраних проекти будуть суперечити один одному, приймається той проект, який отримав найбільшу підтримку.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5.9. За результатами підрахунку голосів визначаються переможці по кожному населеному пункту окремо, та додатково буде визначено переможця по громаді в цілому за результатами набрання найбільшої кількості балів. </w:t>
      </w: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Розділ 6. Реалізація проектів та оцінка процесу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6.1. Проекти починають реалізовуватися відповідно до графіку реалізації Бюджету участі у Сторожинецькій міській ОТГ.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6.2. Організатором та/або виконавцем та/або інвестором щодо реалізації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який переміг, може виступати переможець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але фінансування проекту залишається за Сторожинецькою міською радою.</w:t>
      </w:r>
    </w:p>
    <w:p w:rsidR="00511364" w:rsidRPr="00511364" w:rsidRDefault="00511364" w:rsidP="00511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6.3. Автор проекту відповідає за реалізацію проекту у відповідності до видів діяльності представлених у Заявці проекту та контролює виконання свого проекту на будь-якому етапі.</w:t>
      </w:r>
    </w:p>
    <w:p w:rsidR="00511364" w:rsidRPr="00511364" w:rsidRDefault="00511364" w:rsidP="005113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1364" w:rsidRPr="00511364" w:rsidRDefault="00511364" w:rsidP="005113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Секретар міської ради </w:t>
      </w: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І. Матейчук</w:t>
      </w:r>
    </w:p>
    <w:p w:rsidR="00FA3EC3" w:rsidRPr="00D137A6" w:rsidRDefault="00FA3EC3" w:rsidP="00FA3EC3">
      <w:pPr>
        <w:rPr>
          <w:lang w:val="uk-UA"/>
        </w:rPr>
      </w:pPr>
    </w:p>
    <w:sectPr w:rsidR="00FA3EC3" w:rsidRPr="00D137A6" w:rsidSect="00464F9B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3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6674798"/>
    <w:multiLevelType w:val="multilevel"/>
    <w:tmpl w:val="A26A6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047732"/>
    <w:multiLevelType w:val="multilevel"/>
    <w:tmpl w:val="10DE98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586801"/>
    <w:multiLevelType w:val="hybridMultilevel"/>
    <w:tmpl w:val="D690E124"/>
    <w:lvl w:ilvl="0" w:tplc="DB42ED5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C3950CA"/>
    <w:multiLevelType w:val="multilevel"/>
    <w:tmpl w:val="46162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1" w15:restartNumberingAfterBreak="0">
    <w:nsid w:val="77141731"/>
    <w:multiLevelType w:val="multilevel"/>
    <w:tmpl w:val="AAA4C2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2540B3"/>
    <w:multiLevelType w:val="multilevel"/>
    <w:tmpl w:val="95987A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6"/>
    <w:rsid w:val="000217C1"/>
    <w:rsid w:val="000568D3"/>
    <w:rsid w:val="00116E57"/>
    <w:rsid w:val="001832C2"/>
    <w:rsid w:val="001A73A5"/>
    <w:rsid w:val="00213166"/>
    <w:rsid w:val="00273B9C"/>
    <w:rsid w:val="002933D0"/>
    <w:rsid w:val="00295D97"/>
    <w:rsid w:val="00385390"/>
    <w:rsid w:val="003F0B4B"/>
    <w:rsid w:val="00463AAE"/>
    <w:rsid w:val="00464F9B"/>
    <w:rsid w:val="004C402D"/>
    <w:rsid w:val="004E10E7"/>
    <w:rsid w:val="00511364"/>
    <w:rsid w:val="00515BB9"/>
    <w:rsid w:val="00610CA7"/>
    <w:rsid w:val="006B7DD8"/>
    <w:rsid w:val="00785B03"/>
    <w:rsid w:val="007D2260"/>
    <w:rsid w:val="007F6FA5"/>
    <w:rsid w:val="00853FEC"/>
    <w:rsid w:val="00856A68"/>
    <w:rsid w:val="00867B04"/>
    <w:rsid w:val="008C6DD4"/>
    <w:rsid w:val="00953C09"/>
    <w:rsid w:val="00A92CD1"/>
    <w:rsid w:val="00B02F35"/>
    <w:rsid w:val="00D137A6"/>
    <w:rsid w:val="00D95B5D"/>
    <w:rsid w:val="00E13138"/>
    <w:rsid w:val="00F465B3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8AE54"/>
  <w15:chartTrackingRefBased/>
  <w15:docId w15:val="{EAB77C7B-FE8A-4062-A9DF-A8E9B7E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A7"/>
    <w:rPr>
      <w:color w:val="0563C1" w:themeColor="hyperlink"/>
      <w:u w:val="single"/>
    </w:rPr>
  </w:style>
  <w:style w:type="paragraph" w:styleId="a4">
    <w:name w:val="No Spacing"/>
    <w:uiPriority w:val="1"/>
    <w:qFormat/>
    <w:rsid w:val="000217C1"/>
    <w:pPr>
      <w:spacing w:after="0" w:line="240" w:lineRule="auto"/>
    </w:pPr>
  </w:style>
  <w:style w:type="paragraph" w:styleId="a5">
    <w:name w:val="List Paragraph"/>
    <w:basedOn w:val="a"/>
    <w:qFormat/>
    <w:rsid w:val="00D137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D1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-misk-r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E18D-DF43-48C6-A165-E36AE76D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Дранчук</dc:creator>
  <cp:keywords/>
  <dc:description/>
  <cp:lastModifiedBy>11111</cp:lastModifiedBy>
  <cp:revision>2</cp:revision>
  <dcterms:created xsi:type="dcterms:W3CDTF">2018-12-13T11:38:00Z</dcterms:created>
  <dcterms:modified xsi:type="dcterms:W3CDTF">2018-12-13T11:38:00Z</dcterms:modified>
</cp:coreProperties>
</file>