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DE8" w:rsidRPr="00B63139" w:rsidRDefault="00AD4DE8" w:rsidP="00AD4DE8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C84076" wp14:editId="355DDC57">
            <wp:simplePos x="0" y="0"/>
            <wp:positionH relativeFrom="column">
              <wp:posOffset>-387581</wp:posOffset>
            </wp:positionH>
            <wp:positionV relativeFrom="paragraph">
              <wp:posOffset>577</wp:posOffset>
            </wp:positionV>
            <wp:extent cx="643890" cy="8985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139">
        <w:rPr>
          <w:color w:val="000099"/>
          <w:sz w:val="28"/>
          <w:szCs w:val="28"/>
        </w:rPr>
        <w:t>Головне управління ДПС у Чернівецькій області</w:t>
      </w:r>
    </w:p>
    <w:p w:rsidR="00AD4DE8" w:rsidRPr="00B63139" w:rsidRDefault="00AD4DE8" w:rsidP="00AD4DE8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6313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просить розмістити інформаційні матеріали</w:t>
      </w:r>
    </w:p>
    <w:p w:rsidR="00AD4DE8" w:rsidRDefault="00AD4DE8" w:rsidP="00AD4DE8">
      <w:pPr>
        <w:pStyle w:val="11"/>
        <w:jc w:val="center"/>
        <w:rPr>
          <w:b/>
          <w:bCs/>
          <w:lang w:eastAsia="uk-UA"/>
        </w:rPr>
      </w:pPr>
      <w:bookmarkStart w:id="0" w:name="_GoBack"/>
      <w:bookmarkEnd w:id="0"/>
    </w:p>
    <w:p w:rsidR="00AD4DE8" w:rsidRDefault="00AD4DE8" w:rsidP="00AD4DE8">
      <w:pPr>
        <w:pStyle w:val="11"/>
        <w:jc w:val="center"/>
        <w:rPr>
          <w:b/>
          <w:bCs/>
          <w:lang w:eastAsia="uk-UA"/>
        </w:rPr>
      </w:pPr>
    </w:p>
    <w:p w:rsidR="00AD4DE8" w:rsidRPr="00AD4DE8" w:rsidRDefault="00AD4DE8" w:rsidP="00AD4DE8">
      <w:pPr>
        <w:pStyle w:val="11"/>
        <w:jc w:val="center"/>
        <w:rPr>
          <w:b/>
          <w:bCs/>
          <w:lang w:eastAsia="uk-UA"/>
        </w:rPr>
      </w:pPr>
      <w:r w:rsidRPr="00AD4DE8">
        <w:rPr>
          <w:b/>
          <w:bCs/>
          <w:lang w:eastAsia="uk-UA"/>
        </w:rPr>
        <w:t>Бліц-відповіді на питання про сплату податку на нерухоме майно – 2021</w:t>
      </w:r>
    </w:p>
    <w:p w:rsidR="00AD4DE8" w:rsidRDefault="00AD4DE8" w:rsidP="00AD4DE8">
      <w:pPr>
        <w:pStyle w:val="11"/>
      </w:pPr>
      <w:r>
        <w:rPr>
          <w:rStyle w:val="a4"/>
        </w:rPr>
        <w:t>Як громадяни сплачують податок?</w:t>
      </w:r>
      <w:r>
        <w:t xml:space="preserve"> </w:t>
      </w:r>
    </w:p>
    <w:p w:rsidR="00AD4DE8" w:rsidRDefault="00AD4DE8" w:rsidP="00AD4DE8">
      <w:pPr>
        <w:pStyle w:val="11"/>
      </w:pPr>
      <w:r>
        <w:t xml:space="preserve">Обчислення суми податку з об'єктів житлової нерухомості здійснюється податковим органом за місцем податкової адреси (місцем реєстрації) власника нерухомості. </w:t>
      </w:r>
    </w:p>
    <w:p w:rsidR="00AD4DE8" w:rsidRDefault="00AD4DE8" w:rsidP="00AD4DE8">
      <w:pPr>
        <w:pStyle w:val="11"/>
      </w:pPr>
      <w:r>
        <w:t xml:space="preserve">Податкові  повідомлення-рішення, у яких зазначена сума нарахованого податку та відповідні платіжні реквізити, на які слід сплатити податок,  надсилаються платнику до 1 липня року, що настає за базовим податковим (звітним) періодом. </w:t>
      </w:r>
    </w:p>
    <w:p w:rsidR="00AD4DE8" w:rsidRDefault="00AD4DE8" w:rsidP="00AD4DE8">
      <w:pPr>
        <w:pStyle w:val="11"/>
      </w:pPr>
      <w:r>
        <w:t xml:space="preserve">Сплатити суму зазначеного в них податку потрібно протягом 60 днів після  отримання. </w:t>
      </w:r>
    </w:p>
    <w:p w:rsidR="00AD4DE8" w:rsidRDefault="00AD4DE8" w:rsidP="00AD4DE8">
      <w:pPr>
        <w:pStyle w:val="11"/>
      </w:pPr>
      <w:r>
        <w:rPr>
          <w:rStyle w:val="a4"/>
        </w:rPr>
        <w:t>Якщо є кілька власників квартири, хто сплачує податок на нерухомість?</w:t>
      </w:r>
      <w:r>
        <w:t xml:space="preserve"> </w:t>
      </w:r>
    </w:p>
    <w:p w:rsidR="00AD4DE8" w:rsidRDefault="00AD4DE8" w:rsidP="00AD4DE8">
      <w:pPr>
        <w:pStyle w:val="11"/>
      </w:pPr>
      <w:r>
        <w:t xml:space="preserve">Податок на нерухоме майно сплачують фізичні особи, в тому числі нерезиденти, які є власниками об'єктів житлової та нежитлової нерухомості.   </w:t>
      </w:r>
    </w:p>
    <w:p w:rsidR="00AD4DE8" w:rsidRDefault="00AD4DE8" w:rsidP="00AD4DE8">
      <w:pPr>
        <w:pStyle w:val="11"/>
      </w:pPr>
      <w:r>
        <w:t xml:space="preserve">Якщо об'єкт нерухомості перебуває у спільній частковій власності кількох фізичних осіб, то податок сплачує кожна з цих осіб за належну їй частку. </w:t>
      </w:r>
    </w:p>
    <w:p w:rsidR="00AD4DE8" w:rsidRDefault="00AD4DE8" w:rsidP="00AD4DE8">
      <w:pPr>
        <w:pStyle w:val="11"/>
      </w:pPr>
      <w:r>
        <w:rPr>
          <w:rStyle w:val="a4"/>
        </w:rPr>
        <w:t>Як податковий орган отримує інформацію про належні громадянам об’єкти нерухомості?</w:t>
      </w:r>
      <w:r>
        <w:t xml:space="preserve"> </w:t>
      </w:r>
    </w:p>
    <w:p w:rsidR="00AD4DE8" w:rsidRDefault="00AD4DE8" w:rsidP="00AD4DE8">
      <w:pPr>
        <w:pStyle w:val="11"/>
      </w:pPr>
      <w:r>
        <w:t xml:space="preserve">Податкові органи надсилають податкові повідомлення-рішення в тому випадку, якщо об’єкт нерухомості зареєстровано в Реєстрі об’єктів нерухомого майна. </w:t>
      </w:r>
    </w:p>
    <w:p w:rsidR="00AD4DE8" w:rsidRDefault="00AD4DE8" w:rsidP="00AD4DE8">
      <w:pPr>
        <w:pStyle w:val="11"/>
      </w:pPr>
      <w:r>
        <w:t xml:space="preserve">У разі подання платником податку податковому органу правовстановлюючих документів на нерухоме майно, відомості про яке відсутні у базі даних інформаційних систем, сплата податку здійснюється на підставі цих відомостей до отримання інформації від органів державної реєстрації прав на нерухоме майно. </w:t>
      </w:r>
    </w:p>
    <w:p w:rsidR="00AD4DE8" w:rsidRDefault="00AD4DE8" w:rsidP="00AD4DE8">
      <w:pPr>
        <w:pStyle w:val="11"/>
      </w:pPr>
    </w:p>
    <w:p w:rsidR="00AD4DE8" w:rsidRPr="00AD4DE8" w:rsidRDefault="00AD4DE8" w:rsidP="00AD4DE8">
      <w:pPr>
        <w:pStyle w:val="11"/>
        <w:jc w:val="center"/>
        <w:rPr>
          <w:b/>
          <w:bCs/>
        </w:rPr>
      </w:pPr>
      <w:r w:rsidRPr="00AD4DE8">
        <w:rPr>
          <w:b/>
          <w:bCs/>
        </w:rPr>
        <w:t>Публічна інформація: Буковинські податківці розглянули 141 запит</w:t>
      </w:r>
    </w:p>
    <w:p w:rsidR="00AD4DE8" w:rsidRDefault="00AD4DE8" w:rsidP="00AD4DE8">
      <w:pPr>
        <w:pStyle w:val="11"/>
      </w:pPr>
      <w:r>
        <w:t xml:space="preserve">У Головному управлінні ДПС у Чернівецькій області інформують, у січні - травні 2021 року до регіонального податкового відомства  від платників надійшло 141 запит на публічну інформацію. </w:t>
      </w:r>
    </w:p>
    <w:p w:rsidR="00AD4DE8" w:rsidRDefault="00AD4DE8" w:rsidP="00AD4DE8">
      <w:pPr>
        <w:pStyle w:val="11"/>
      </w:pPr>
      <w:r>
        <w:t xml:space="preserve">У податковому відомстві зазначають, більшість запитувачів, а це 116 громадян, які направили до податкової служби області запити - фізичні особи, від юридичних осіб надійшло 19 запитів. Від представників засобів масової інформації – 1 запит та 5 запитів переадресовано від інших органів виконавчої влади як розпоряднику інформації. </w:t>
      </w:r>
    </w:p>
    <w:p w:rsidR="00AD4DE8" w:rsidRDefault="00AD4DE8" w:rsidP="00AD4DE8">
      <w:pPr>
        <w:pStyle w:val="11"/>
      </w:pPr>
      <w:r>
        <w:t xml:space="preserve">Запитувачі, зокрема зверталися з проханням надати інформацію щодо: копій рішень про списання боргу; наявності або відсутності податкового боргу по єдиному податку та ЄСВ; переплати по єдиному податку; зняття з обліку як платника податків; кількість проведених фактичних перевірок та у 2020 році та сум </w:t>
      </w:r>
      <w:proofErr w:type="spellStart"/>
      <w:r>
        <w:t>донарахувань</w:t>
      </w:r>
      <w:proofErr w:type="spellEnd"/>
      <w:r>
        <w:t xml:space="preserve">; реквізитів рахунків; надання копії рішень про встановлення ставок земельного податку з фізичних осіб. </w:t>
      </w:r>
    </w:p>
    <w:p w:rsidR="00AD4DE8" w:rsidRDefault="00AD4DE8" w:rsidP="00AD4DE8">
      <w:pPr>
        <w:pStyle w:val="11"/>
      </w:pPr>
      <w:r>
        <w:t xml:space="preserve">Відтак, за результатами розгляду задоволено 130 запитів на отримання публічної інформації, 3 запита направлено іншим розпорядникам інформації, у володінні яких вона знаходиться. Крім того, відповідно до ч.1 ст. 22 Закону відмовлено в задоволенні по 5-ти запитах. Наразі ще 3 запита знаходяться на опрацюванні. </w:t>
      </w:r>
    </w:p>
    <w:p w:rsidR="00AD4DE8" w:rsidRDefault="00AD4DE8" w:rsidP="00AD4DE8">
      <w:pPr>
        <w:pStyle w:val="11"/>
      </w:pPr>
      <w:r>
        <w:t xml:space="preserve">До відома: отримати публічну інформацію, розпорядником якої є Головне управління ДПС у Чернівецькій області, може кожен бажаючий. Більш детально щодо порядку складання та форми подання запиту можна ознайомитись на офіційному порталі «Територіальні органи ДПС у Чернівецькій області» &gt;Головна&gt;ДПС у регіоні&gt;Публічна інформація за посиланням: </w:t>
      </w:r>
      <w:hyperlink r:id="rId5" w:history="1">
        <w:r>
          <w:rPr>
            <w:rStyle w:val="a5"/>
          </w:rPr>
          <w:t>https://cv.tax.gov.ua/dfs-u-regioni/golov-upr/dostup-do-publichnoi-info/</w:t>
        </w:r>
      </w:hyperlink>
      <w:r>
        <w:t xml:space="preserve">   </w:t>
      </w:r>
    </w:p>
    <w:p w:rsidR="00AD4DE8" w:rsidRDefault="00AD4DE8" w:rsidP="00AD4DE8">
      <w:pPr>
        <w:pStyle w:val="11"/>
      </w:pPr>
      <w:r>
        <w:t xml:space="preserve">Форма для подання запиту на отримання публічної інформації: Головна&gt;ДПС у регіоні&gt;Головне управління&gt;Публічна інформація: </w:t>
      </w:r>
      <w:hyperlink r:id="rId6" w:history="1">
        <w:r>
          <w:rPr>
            <w:rStyle w:val="a5"/>
          </w:rPr>
          <w:t>https://cv.tax.gov.ua/dfs-u-regioni/golov-upr/dostup-do-publichnoi-info/forma-podannya-zapitu/</w:t>
        </w:r>
      </w:hyperlink>
      <w:r>
        <w:t xml:space="preserve"> </w:t>
      </w:r>
    </w:p>
    <w:p w:rsidR="00AD4DE8" w:rsidRDefault="00AD4DE8" w:rsidP="00AD4DE8">
      <w:pPr>
        <w:pStyle w:val="11"/>
      </w:pPr>
    </w:p>
    <w:p w:rsidR="00AD4DE8" w:rsidRPr="00AD4DE8" w:rsidRDefault="00AD4DE8" w:rsidP="00AD4DE8">
      <w:pPr>
        <w:pStyle w:val="11"/>
        <w:jc w:val="center"/>
        <w:rPr>
          <w:b/>
          <w:bCs/>
        </w:rPr>
      </w:pPr>
      <w:r w:rsidRPr="00AD4DE8">
        <w:rPr>
          <w:b/>
          <w:bCs/>
        </w:rPr>
        <w:t>Запитання від платника: які пільги щодо сплати земельного податку встановлені для громадян?</w:t>
      </w:r>
    </w:p>
    <w:p w:rsidR="00AD4DE8" w:rsidRDefault="00AD4DE8" w:rsidP="00AD4DE8">
      <w:pPr>
        <w:pStyle w:val="11"/>
      </w:pPr>
      <w:r>
        <w:lastRenderedPageBreak/>
        <w:t>У Головному управлінні ДПС у Чернівецькій області роз’яснюють, в</w:t>
      </w:r>
      <w:r>
        <w:t xml:space="preserve">ід сплати земельного податку звільняються: </w:t>
      </w:r>
    </w:p>
    <w:p w:rsidR="00AD4DE8" w:rsidRDefault="00AD4DE8" w:rsidP="00AD4DE8">
      <w:pPr>
        <w:pStyle w:val="11"/>
      </w:pPr>
      <w:r>
        <w:t xml:space="preserve">особи з інвалідністю першої і другої групи; </w:t>
      </w:r>
    </w:p>
    <w:p w:rsidR="00AD4DE8" w:rsidRDefault="00AD4DE8" w:rsidP="00AD4DE8">
      <w:pPr>
        <w:pStyle w:val="11"/>
      </w:pPr>
      <w:r>
        <w:t xml:space="preserve">фізичні особи, які виховують трьох і більше дітей віком до 18 років; </w:t>
      </w:r>
    </w:p>
    <w:p w:rsidR="00AD4DE8" w:rsidRDefault="00AD4DE8" w:rsidP="00AD4DE8">
      <w:pPr>
        <w:pStyle w:val="11"/>
      </w:pPr>
      <w:r>
        <w:t xml:space="preserve">пенсіонери (за віком); </w:t>
      </w:r>
    </w:p>
    <w:p w:rsidR="00AD4DE8" w:rsidRDefault="00AD4DE8" w:rsidP="00AD4DE8">
      <w:pPr>
        <w:pStyle w:val="11"/>
      </w:pPr>
      <w:r>
        <w:t xml:space="preserve">ветерани війни та особи, на яких поширюється дія Закону України «Про статус ветеранів війни, гарантії їх соціального захисту»; </w:t>
      </w:r>
    </w:p>
    <w:p w:rsidR="00AD4DE8" w:rsidRDefault="00AD4DE8" w:rsidP="00AD4DE8">
      <w:pPr>
        <w:pStyle w:val="11"/>
      </w:pPr>
      <w:r>
        <w:t xml:space="preserve">фізичні особи, визнані законом особами, які постраждали внаслідок Чорнобильської катастрофи. </w:t>
      </w:r>
    </w:p>
    <w:p w:rsidR="00AD4DE8" w:rsidRDefault="00AD4DE8" w:rsidP="00AD4DE8">
      <w:pPr>
        <w:pStyle w:val="11"/>
      </w:pPr>
      <w:r>
        <w:t xml:space="preserve">Звільнення від сплати податку за земельні ділянки, передбачене для відповідної категорії фізичних осіб, зазначених вище, поширюється на земельні ділянки за кожним видом використання у межах граничних норм: </w:t>
      </w:r>
    </w:p>
    <w:p w:rsidR="00AD4DE8" w:rsidRDefault="00AD4DE8" w:rsidP="00AD4DE8">
      <w:pPr>
        <w:pStyle w:val="11"/>
      </w:pPr>
      <w:r>
        <w:t xml:space="preserve">для ведення особистого селянського господарства – у розмірі не більш як 2 гектари; </w:t>
      </w:r>
    </w:p>
    <w:p w:rsidR="00AD4DE8" w:rsidRDefault="00AD4DE8" w:rsidP="00AD4DE8">
      <w:pPr>
        <w:pStyle w:val="11"/>
      </w:pPr>
      <w:r>
        <w:t xml:space="preserve">для будівництва та обслуговування житлового будинку, господарських будівель і споруд (присадибна ділянка): у селах – не більш як 0,25 гектара, в селищах – не більш як 0,15 гектара, в містах – не більш як 0,10 гектара; </w:t>
      </w:r>
    </w:p>
    <w:p w:rsidR="00AD4DE8" w:rsidRDefault="00AD4DE8" w:rsidP="00AD4DE8">
      <w:pPr>
        <w:pStyle w:val="11"/>
      </w:pPr>
      <w:r>
        <w:t xml:space="preserve">для індивідуального дачного будівництва – не більш як 0,10 гектара; </w:t>
      </w:r>
    </w:p>
    <w:p w:rsidR="00AD4DE8" w:rsidRDefault="00AD4DE8" w:rsidP="00AD4DE8">
      <w:pPr>
        <w:pStyle w:val="11"/>
      </w:pPr>
      <w:r>
        <w:t xml:space="preserve">для будівництва індивідуальних гаражів – не більш як 0,01 гектара; </w:t>
      </w:r>
    </w:p>
    <w:p w:rsidR="00AD4DE8" w:rsidRDefault="00AD4DE8" w:rsidP="00AD4DE8">
      <w:pPr>
        <w:pStyle w:val="11"/>
      </w:pPr>
      <w:r>
        <w:t xml:space="preserve">для ведення садівництва – не більш як 0,12 гектара. </w:t>
      </w:r>
    </w:p>
    <w:p w:rsidR="00AD4DE8" w:rsidRDefault="00AD4DE8" w:rsidP="00AD4DE8">
      <w:pPr>
        <w:pStyle w:val="11"/>
      </w:pPr>
      <w:r>
        <w:t xml:space="preserve">Від сплати податку звільняються на період дії єдиного податку четвертої групи власники земельних ділянок, земельних часток (паїв) та землекористувачі за умови передачі земельних ділянок та земельних часток (паїв) в оренду платнику єдиного податку четвертої групи. </w:t>
      </w:r>
    </w:p>
    <w:p w:rsidR="00E1192A" w:rsidRDefault="00E1192A" w:rsidP="00AD4DE8">
      <w:pPr>
        <w:pStyle w:val="11"/>
      </w:pPr>
    </w:p>
    <w:sectPr w:rsidR="00E11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E8"/>
    <w:rsid w:val="00AD4DE8"/>
    <w:rsid w:val="00B162AA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B452"/>
  <w15:chartTrackingRefBased/>
  <w15:docId w15:val="{FA969EE9-279D-4580-BCE9-E41D831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AD4D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D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D4DE8"/>
    <w:rPr>
      <w:b/>
      <w:bCs/>
    </w:rPr>
  </w:style>
  <w:style w:type="paragraph" w:customStyle="1" w:styleId="13">
    <w:name w:val="1"/>
    <w:basedOn w:val="a"/>
    <w:rsid w:val="00AD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AD4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v.tax.gov.ua/dfs-u-regioni/golov-upr/dostup-do-publichnoi-info/forma-podannya-zapitu/" TargetMode="External"/><Relationship Id="rId5" Type="http://schemas.openxmlformats.org/officeDocument/2006/relationships/hyperlink" Target="https://cv.tax.gov.ua/dfs-u-regioni/golov-upr/dostup-do-publichnoi-inf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3345</Words>
  <Characters>1907</Characters>
  <Application>Microsoft Office Word</Application>
  <DocSecurity>0</DocSecurity>
  <Lines>15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2021-06-09T07:32:00Z</dcterms:created>
  <dcterms:modified xsi:type="dcterms:W3CDTF">2021-06-09T07:35:00Z</dcterms:modified>
</cp:coreProperties>
</file>