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DCC3" w14:textId="77777777" w:rsidR="007B286E" w:rsidRPr="00B63139" w:rsidRDefault="007B286E" w:rsidP="007B286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62F854" wp14:editId="11DD5C73">
            <wp:simplePos x="0" y="0"/>
            <wp:positionH relativeFrom="column">
              <wp:posOffset>-387581</wp:posOffset>
            </wp:positionH>
            <wp:positionV relativeFrom="paragraph">
              <wp:posOffset>577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139">
        <w:rPr>
          <w:color w:val="000099"/>
          <w:sz w:val="28"/>
          <w:szCs w:val="28"/>
        </w:rPr>
        <w:t>Головне управління ДПС у Чернівецькій області</w:t>
      </w:r>
    </w:p>
    <w:p w14:paraId="2EC7E3C8" w14:textId="77777777" w:rsidR="007B286E" w:rsidRPr="00B63139" w:rsidRDefault="007B286E" w:rsidP="007B286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6313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просить розмістити інформаційні матеріали</w:t>
      </w:r>
    </w:p>
    <w:p w14:paraId="457A3950" w14:textId="77777777" w:rsidR="007B286E" w:rsidRDefault="007B286E" w:rsidP="007B286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14:paraId="7CF57ABD" w14:textId="77777777" w:rsidR="007B286E" w:rsidRDefault="007B286E" w:rsidP="007B286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14:paraId="7072AC34" w14:textId="77777777" w:rsidR="007B286E" w:rsidRDefault="007B286E" w:rsidP="007B286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14:paraId="1BF44274" w14:textId="77777777" w:rsidR="003D3AF8" w:rsidRDefault="003D3AF8" w:rsidP="003D3AF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D1D1B"/>
          <w:sz w:val="24"/>
          <w:szCs w:val="24"/>
        </w:rPr>
      </w:pPr>
      <w:r>
        <w:rPr>
          <w:bCs w:val="0"/>
          <w:color w:val="1D1D1B"/>
          <w:sz w:val="24"/>
          <w:szCs w:val="24"/>
        </w:rPr>
        <w:t>Буковинському бізнесу упродовж першого півріччя відшкодовано з бюджету майже 139 мільйонів ПДВ</w:t>
      </w:r>
    </w:p>
    <w:p w14:paraId="04A6286C" w14:textId="77777777" w:rsidR="003D3AF8" w:rsidRDefault="003D3AF8" w:rsidP="003D3A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За інформацією начальника Головного управління ДПС у Чернівецькій області Віталія Шпака  впродовж січня - червня 2021 року  заяви на отримання бюджетного відшкодування подали 100 платників на суму 152,5 млн грн.</w:t>
      </w:r>
    </w:p>
    <w:p w14:paraId="75696743" w14:textId="77777777" w:rsidR="003D3AF8" w:rsidRDefault="003D3AF8" w:rsidP="003D3A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 цей період відшкодовано платникам з бюджету податку на додану вартість 138,9 млн грн.  це на 44,6 млн грн більше ніж за аналогічний період минулого року. </w:t>
      </w:r>
    </w:p>
    <w:p w14:paraId="67AB5FBC" w14:textId="77777777" w:rsidR="003D3AF8" w:rsidRDefault="003D3AF8" w:rsidP="003D3A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Серед платників, які заявили бюджетне відшкодування податку на додану вартість грошовими коштами на рахунки: підприємства - експортери - 71 платник, на суму 113,0 млн грн. Суб'єкти господарювання, які здійснюють міжнародні перевезення, таких 17, заявили до відшкодування 18,1 млн грн. </w:t>
      </w:r>
    </w:p>
    <w:p w14:paraId="3484ACCE" w14:textId="77777777" w:rsidR="003D3AF8" w:rsidRDefault="003D3AF8" w:rsidP="003D3A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Також заявили до відшкодування підприємства, засновані організаціями інвалідів, таких заявників в області 5 на 1,5 млн грн  відповідно.</w:t>
      </w:r>
    </w:p>
    <w:p w14:paraId="60E617D3" w14:textId="77777777" w:rsidR="003D3AF8" w:rsidRDefault="003D3AF8" w:rsidP="003D3A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Підприємства які працюють на внутрішньому ринку України заявили до відшкодування 19,8 млн грн.</w:t>
      </w:r>
    </w:p>
    <w:p w14:paraId="762CF44F" w14:textId="77777777" w:rsidR="003D3AF8" w:rsidRDefault="003D3AF8" w:rsidP="003D3A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Разом з тим сума упередженого відшкодування ПДВ у 15 суб’єктів господарювання склала  3,2 млн грн.</w:t>
      </w:r>
    </w:p>
    <w:p w14:paraId="35A561CD" w14:textId="77777777" w:rsidR="003D3AF8" w:rsidRDefault="003D3AF8" w:rsidP="003D3A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Доцільно зауважити, що в області надходження ПДВ один із топ – податків серед усіх надходжень до державного бюджету – 40 відсотків. Загалом впродовж першого півріччя  2021 року сплачено 485,7 млн грн податку на додану вартість, що на 71,5 млн грн більше ніж за аналогічний період минулого року.</w:t>
      </w:r>
    </w:p>
    <w:p w14:paraId="24A5CCEA" w14:textId="77777777" w:rsidR="003D3AF8" w:rsidRDefault="003D3AF8" w:rsidP="003D3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14:paraId="07B305E0" w14:textId="77777777" w:rsidR="003D3AF8" w:rsidRPr="00BD09B8" w:rsidRDefault="003D3AF8" w:rsidP="003D3AF8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З </w:t>
      </w:r>
      <w:r w:rsidRPr="00BD09B8">
        <w:rPr>
          <w:b/>
          <w:bCs/>
        </w:rPr>
        <w:t xml:space="preserve">1 липня 2021 року </w:t>
      </w:r>
      <w:proofErr w:type="spellStart"/>
      <w:r w:rsidRPr="00BD09B8">
        <w:rPr>
          <w:b/>
          <w:bCs/>
        </w:rPr>
        <w:t>Держпраці</w:t>
      </w:r>
      <w:proofErr w:type="spellEnd"/>
      <w:r w:rsidRPr="00BD09B8">
        <w:rPr>
          <w:b/>
          <w:bCs/>
        </w:rPr>
        <w:t xml:space="preserve"> у взаємодії з ДПС розпочало інспектування з питань виявлення незадекларованих працівників</w:t>
      </w:r>
    </w:p>
    <w:p w14:paraId="2AE7B26E" w14:textId="77777777" w:rsidR="003D3AF8" w:rsidRDefault="003D3AF8" w:rsidP="003D3AF8">
      <w:pPr>
        <w:pStyle w:val="a3"/>
        <w:spacing w:before="0" w:beforeAutospacing="0" w:after="0" w:afterAutospacing="0"/>
        <w:ind w:firstLine="567"/>
        <w:jc w:val="both"/>
      </w:pPr>
      <w:r>
        <w:t xml:space="preserve">У Головному управлінні ДПС у Чернівецькій області інформують, дані інспекційні відвідування представників </w:t>
      </w:r>
      <w:proofErr w:type="spellStart"/>
      <w:r>
        <w:t>Держпраці</w:t>
      </w:r>
      <w:proofErr w:type="spellEnd"/>
      <w:r>
        <w:t xml:space="preserve"> та ДПС націлені на роботодавців, які із достатньо високою вірогідністю використовують незадекларованих працівників. та продовжують ухилятись від оформлення трудових відносин із найманими особами. </w:t>
      </w:r>
    </w:p>
    <w:p w14:paraId="4CC6C1AC" w14:textId="22301D7B" w:rsidR="003D3AF8" w:rsidRPr="00BD09B8" w:rsidRDefault="003D3AF8" w:rsidP="003D3AF8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>
        <w:t xml:space="preserve">Відтак у відомстві роз’яснюють, що </w:t>
      </w:r>
      <w:r w:rsidRPr="00BD09B8">
        <w:t xml:space="preserve">інформаційні бази ДПС дають </w:t>
      </w:r>
      <w:proofErr w:type="spellStart"/>
      <w:r w:rsidRPr="00BD09B8">
        <w:t>Держпраці</w:t>
      </w:r>
      <w:proofErr w:type="spellEnd"/>
      <w:r w:rsidRPr="00BD09B8">
        <w:t xml:space="preserve"> можливість відібрати роботодавців, що мають високий ризик за наступними критеріями:</w:t>
      </w:r>
    </w:p>
    <w:p w14:paraId="0000D335" w14:textId="77777777" w:rsidR="003D3AF8" w:rsidRDefault="003D3AF8" w:rsidP="003D3AF8">
      <w:pPr>
        <w:pStyle w:val="a3"/>
        <w:spacing w:before="0" w:beforeAutospacing="0" w:after="0" w:afterAutospacing="0"/>
        <w:ind w:firstLine="567"/>
        <w:jc w:val="both"/>
      </w:pPr>
      <w:r>
        <w:t>невідповідність кількості працівників роботодавця обсягам виробництва (виконаних робіт, наданих послуг) до середніх показників за відповідним видом економічної діяльності;</w:t>
      </w:r>
    </w:p>
    <w:p w14:paraId="3AB34510" w14:textId="77777777" w:rsidR="003D3AF8" w:rsidRDefault="003D3AF8" w:rsidP="003D3AF8">
      <w:pPr>
        <w:pStyle w:val="a3"/>
        <w:spacing w:before="0" w:beforeAutospacing="0" w:after="0" w:afterAutospacing="0"/>
        <w:ind w:firstLine="567"/>
        <w:jc w:val="both"/>
      </w:pPr>
      <w:r>
        <w:t>наявність фактів порушення порядку оформлення трудових відносин, виявлених в ході контролюючих заходів органами ДПС;</w:t>
      </w:r>
    </w:p>
    <w:p w14:paraId="0A6D421F" w14:textId="77777777" w:rsidR="003D3AF8" w:rsidRDefault="003D3AF8" w:rsidP="003D3AF8">
      <w:pPr>
        <w:pStyle w:val="a3"/>
        <w:spacing w:before="0" w:beforeAutospacing="0" w:after="0" w:afterAutospacing="0"/>
        <w:ind w:firstLine="567"/>
        <w:jc w:val="both"/>
      </w:pPr>
      <w:r>
        <w:t>невідповідність кількості об'єктів за формою № 20-ОПП та кількості найманих працівників;</w:t>
      </w:r>
    </w:p>
    <w:p w14:paraId="1C8E4F38" w14:textId="77777777" w:rsidR="003D3AF8" w:rsidRDefault="003D3AF8" w:rsidP="003D3AF8">
      <w:pPr>
        <w:pStyle w:val="a3"/>
        <w:spacing w:before="0" w:beforeAutospacing="0" w:after="0" w:afterAutospacing="0"/>
        <w:ind w:firstLine="567"/>
        <w:jc w:val="both"/>
      </w:pPr>
      <w:r>
        <w:t>наявність випадків невідповідності кількості одночасно працюючих РРО та кількості працівників роботодавця із зазначенням розташування РРО;</w:t>
      </w:r>
    </w:p>
    <w:p w14:paraId="1A81D46A" w14:textId="77777777" w:rsidR="003D3AF8" w:rsidRDefault="003D3AF8" w:rsidP="003D3AF8">
      <w:pPr>
        <w:pStyle w:val="a3"/>
        <w:spacing w:before="0" w:beforeAutospacing="0" w:after="0" w:afterAutospacing="0"/>
        <w:ind w:firstLine="567"/>
        <w:jc w:val="both"/>
      </w:pPr>
      <w:r>
        <w:t>частка працівників, залучених за договорами цивільно-правового характеру, перевищує частку працівників, що працюють за трудовими договорами (контрактами);</w:t>
      </w:r>
    </w:p>
    <w:p w14:paraId="01BE9B69" w14:textId="77777777" w:rsidR="003D3AF8" w:rsidRDefault="003D3AF8" w:rsidP="003D3AF8">
      <w:pPr>
        <w:pStyle w:val="a3"/>
        <w:spacing w:before="0" w:beforeAutospacing="0" w:after="0" w:afterAutospacing="0"/>
        <w:ind w:firstLine="567"/>
        <w:jc w:val="both"/>
      </w:pPr>
      <w:r>
        <w:t>відсутність найманих працівників у платників об'єктів торгівлі, сфери послуг, у яких наявні ліцензії на виробництво, зберігання та реалізацію підакцизних товарів.</w:t>
      </w:r>
    </w:p>
    <w:p w14:paraId="085CC7C4" w14:textId="77777777" w:rsidR="003D3AF8" w:rsidRDefault="003D3AF8" w:rsidP="003D3AF8"/>
    <w:p w14:paraId="6A685BA8" w14:textId="77777777" w:rsidR="003D3AF8" w:rsidRPr="001A6367" w:rsidRDefault="003D3AF8" w:rsidP="003D3AF8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1A6367">
        <w:rPr>
          <w:sz w:val="24"/>
          <w:szCs w:val="24"/>
        </w:rPr>
        <w:t>Запитання від платника: Чи застосовуються штрафи, у разі якщо суб’єкти господарювання не зберігають первинні документи?</w:t>
      </w:r>
    </w:p>
    <w:p w14:paraId="4091285E" w14:textId="77777777" w:rsidR="003D3AF8" w:rsidRPr="001A6367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6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Головному управлінні ДПС у Чернівецькій області наголошують, незабезпечення платником податків зберігання первинних документів, облікових та інших регістрів, бухгалтерської та статистичної звітності, інших документів з питань обчислення і сплати </w:t>
      </w:r>
      <w:r w:rsidRPr="001A636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податків та зборів протягом установлених ст. 44 ПКУ строків їх зберігання та/або ненадання платником податків контролюючим органам оригіналів документів (крім документів, отриманих з Єдиного реєстру податкових накладних) чи їх копій при здійсненні податкового контролю у випадках, передбачених ПКУ: </w:t>
      </w:r>
    </w:p>
    <w:p w14:paraId="1BC681BB" w14:textId="77777777" w:rsidR="003D3AF8" w:rsidRPr="001A6367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6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тягне за собою накладення штрафу в розмірі 1020 грн. (раніше - 510 грн.); </w:t>
      </w:r>
    </w:p>
    <w:p w14:paraId="296BA5C5" w14:textId="77777777" w:rsidR="003D3AF8" w:rsidRPr="001A6367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6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ті самі дії, вчинені платником податків, до якого протягом року було застосовано штраф за таке саме порушення тягнуть за собою накладення штрафу в розмірі 2040 грн. (раніше - 1020 грн.). </w:t>
      </w:r>
    </w:p>
    <w:p w14:paraId="21C3514F" w14:textId="77777777" w:rsidR="003D3AF8" w:rsidRPr="001A6367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6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Нагадаємо, що платники податків мають забезпечити зберігання первинних документів, регістрів бухгалтерського обліку, фінансової звітності, інших документів, пов'язаних з обчисленням і сплатою податків і зборів, ведення яких передбачено законодавством, а також документів, пов'язаних із виконанням вимог законодавства, контроль за дотриманням якого покладено на контролюючі органи, протягом визначених законодавством термінів, але не менш як 1095 днів з дня подання податкової звітності, для складення якої використовуються зазначені документи. Для документів та інформації, необхідної для здійснення податкового контролю за трансфертним ціноутворенням відповідно до ст. 39 та 392 ПКУ – термін зберігання становить 2555 днів. </w:t>
      </w:r>
    </w:p>
    <w:p w14:paraId="5D12F5E6" w14:textId="77777777" w:rsidR="003D3AF8" w:rsidRPr="001A6367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6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неподання податкової звітності термін зберігання зазначених документів ‒ не менш як 1095 днів з дня здійснення відповідної господарської операції (для відповідних дозвільних документів ‒ не менш як 1095 днів з дня завершення терміну їх дії) (п. 44.3 ст. 44 ПКУ). </w:t>
      </w:r>
    </w:p>
    <w:p w14:paraId="3B706D38" w14:textId="77777777" w:rsidR="003D3AF8" w:rsidRDefault="003D3AF8" w:rsidP="003D3AF8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14:paraId="631AD010" w14:textId="77777777" w:rsidR="003D3AF8" w:rsidRPr="00A132A9" w:rsidRDefault="003D3AF8" w:rsidP="003D3AF8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proofErr w:type="spellStart"/>
      <w:r w:rsidRPr="00A132A9">
        <w:rPr>
          <w:sz w:val="24"/>
          <w:szCs w:val="24"/>
        </w:rPr>
        <w:t>Фізособа</w:t>
      </w:r>
      <w:proofErr w:type="spellEnd"/>
      <w:r w:rsidRPr="00A132A9">
        <w:rPr>
          <w:sz w:val="24"/>
          <w:szCs w:val="24"/>
        </w:rPr>
        <w:t>-«</w:t>
      </w:r>
      <w:proofErr w:type="spellStart"/>
      <w:r w:rsidRPr="00A132A9">
        <w:rPr>
          <w:sz w:val="24"/>
          <w:szCs w:val="24"/>
        </w:rPr>
        <w:t>єдинник</w:t>
      </w:r>
      <w:proofErr w:type="spellEnd"/>
      <w:r w:rsidRPr="00A132A9">
        <w:rPr>
          <w:sz w:val="24"/>
          <w:szCs w:val="24"/>
        </w:rPr>
        <w:t>» не подавав звіти з ЄСВ за минулі роки: як відзвітувати у 2021 році?</w:t>
      </w:r>
    </w:p>
    <w:p w14:paraId="16ACE409" w14:textId="77777777" w:rsidR="003D3AF8" w:rsidRPr="00A132A9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2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Головному управлінні ДПС у Чернівецькій області роз’яснюють, що починаючи з 01.01.2021 р. звітність про нарахування ЄСВ подається за формою, у складі звітності з ПДФО (єдиного податку), яка встановлюється центральним органом виконавчої влади, що забезпечує формування та реалізує державну фінансову політику, за погодженням з Пенсійним фондом та фондами соцстраху. </w:t>
      </w:r>
    </w:p>
    <w:p w14:paraId="01B4E82B" w14:textId="77777777" w:rsidR="003D3AF8" w:rsidRPr="00A132A9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2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Фізичні особи – підприємці – платники єдиного податку першої – третьої груп подають у складі податкової декларації платника єдиного податку – фізичної особи – підприємця за формою, затвердженою наказом Мінфіну від 19.06.2015 р. № 578 (у редакції наказу Мінфіну від 09.12.2020 р. № 752, – Наказ № 752) (далі – Декларація), додаток 1 «Відомості про суми нарахованого доходу застрахованих осіб та суми нарахованого єдиного внеску» (далі – Додаток 1), який є її невід’ємною частиною. </w:t>
      </w:r>
    </w:p>
    <w:p w14:paraId="143B6442" w14:textId="77777777" w:rsidR="003D3AF8" w:rsidRPr="00A132A9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2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Декларація за оновленою формою, подається починаючи зі звітних податкових періодів 2021 року (п. 2 Наказу № 752). </w:t>
      </w:r>
    </w:p>
    <w:p w14:paraId="4581F904" w14:textId="77777777" w:rsidR="003D3AF8" w:rsidRPr="00A132A9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2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з п. 48.1 ПКУ податкова декларація складається за формою, затвердженою в порядку, визначеному положеннями п. 46.5 ст. 46 ПКУ та чинному на час її подання. </w:t>
      </w:r>
    </w:p>
    <w:p w14:paraId="263AF269" w14:textId="77777777" w:rsidR="003D3AF8" w:rsidRPr="00A132A9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2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Тобто, починаючи зі звітних податкових періодів 2021 року, у разі необхідності подання звітності по ЄСВ за періоди до 2021 року, яка не була подана, така звітність подається згідно з Додатком 1 у складі Декларації за формою, чинною на момент подання. </w:t>
      </w:r>
    </w:p>
    <w:p w14:paraId="3E726576" w14:textId="77777777" w:rsidR="003D3AF8" w:rsidRPr="00A132A9" w:rsidRDefault="003D3AF8" w:rsidP="003D3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2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Враховуючи викладене, якщо фізична особа – підприємець – платник єдиного податку першої – третьої групи не подавала за минулі періоди до 01.01.2021 року додаток 5 «Звіт про суми нарахованого доходу застрахованих осіб та суми нарахованого єдиного внеску» до Порядку формування та подання страхувальниками звіту щодо сум нарахованого ЄСВ, затвердженого наказом Мінфіну від 14.04.2015 р. № 435, то така особа зобов’язана подати Додаток 1 у складі Декларації з типом форми «Звітна». </w:t>
      </w:r>
    </w:p>
    <w:p w14:paraId="45AB2600" w14:textId="77777777" w:rsidR="003D3AF8" w:rsidRDefault="003D3AF8" w:rsidP="003D3AF8"/>
    <w:p w14:paraId="33742959" w14:textId="77777777" w:rsidR="007B286E" w:rsidRDefault="007B286E" w:rsidP="003D3AF8">
      <w:pPr>
        <w:pStyle w:val="a3"/>
        <w:spacing w:before="0" w:beforeAutospacing="0" w:after="0" w:afterAutospacing="0"/>
        <w:ind w:firstLine="567"/>
        <w:jc w:val="center"/>
      </w:pPr>
    </w:p>
    <w:sectPr w:rsidR="007B2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6E"/>
    <w:rsid w:val="003D3AF8"/>
    <w:rsid w:val="007B286E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6766"/>
  <w15:chartTrackingRefBased/>
  <w15:docId w15:val="{37C74199-1E76-4DD3-84C6-1D9B8EE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86E"/>
  </w:style>
  <w:style w:type="paragraph" w:styleId="1">
    <w:name w:val="heading 1"/>
    <w:basedOn w:val="a"/>
    <w:link w:val="10"/>
    <w:uiPriority w:val="9"/>
    <w:qFormat/>
    <w:rsid w:val="007B2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B286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aliases w:val="Обычный (Web),Знак,Знак1 Знак,Знак1,Знак1 Знак1,Обычный (веб) Знак Знак2,Знак1 Знак2,Знак1 Знак Знак Знак Знак Знак Знак Знак,Знак1 Знак Знак Знак,Обычный (Web) Знак Знак Знак Знак Знак Знак,Обычный (веб)1,Обычный (Web)1"/>
    <w:basedOn w:val="a"/>
    <w:link w:val="a4"/>
    <w:uiPriority w:val="99"/>
    <w:unhideWhenUsed/>
    <w:qFormat/>
    <w:rsid w:val="007B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7B286E"/>
    <w:rPr>
      <w:color w:val="0000FF"/>
      <w:u w:val="single"/>
    </w:rPr>
  </w:style>
  <w:style w:type="character" w:customStyle="1" w:styleId="a4">
    <w:name w:val="Обычный (Интернет) Знак"/>
    <w:aliases w:val="Обычный (Web) Знак,Знак Знак,Знак1 Знак Знак,Знак1 Знак3,Знак1 Знак1 Знак,Обычный (веб) Знак Знак2 Знак,Знак1 Знак2 Знак,Знак1 Знак Знак Знак Знак Знак Знак Знак Знак,Знак1 Знак Знак Знак Знак,Обычный (веб)1 Знак"/>
    <w:basedOn w:val="a0"/>
    <w:link w:val="a3"/>
    <w:uiPriority w:val="99"/>
    <w:locked/>
    <w:rsid w:val="007B286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4321</Words>
  <Characters>2463</Characters>
  <Application>Microsoft Office Word</Application>
  <DocSecurity>0</DocSecurity>
  <Lines>20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2021-07-09T10:01:00Z</dcterms:created>
  <dcterms:modified xsi:type="dcterms:W3CDTF">2021-07-12T10:37:00Z</dcterms:modified>
</cp:coreProperties>
</file>