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7995" w:rsidRPr="004B3283" w:rsidRDefault="002D7995" w:rsidP="002D7995">
      <w:pPr>
        <w:pStyle w:val="11"/>
        <w:jc w:val="center"/>
        <w:rPr>
          <w:b/>
          <w:bCs/>
          <w:sz w:val="32"/>
          <w:szCs w:val="32"/>
        </w:rPr>
      </w:pPr>
      <w:r w:rsidRPr="004B3283">
        <w:rPr>
          <w:b/>
          <w:bCs/>
          <w:noProof/>
          <w:sz w:val="32"/>
          <w:szCs w:val="28"/>
        </w:rPr>
        <w:drawing>
          <wp:anchor distT="0" distB="0" distL="114300" distR="114300" simplePos="0" relativeHeight="251659264" behindDoc="1" locked="0" layoutInCell="1" allowOverlap="1" wp14:anchorId="3CF51194" wp14:editId="20B0252C">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4B3283">
        <w:rPr>
          <w:b/>
          <w:bCs/>
          <w:sz w:val="32"/>
          <w:szCs w:val="28"/>
        </w:rPr>
        <w:t>Головне управління ДПС у Чернівецькій області</w:t>
      </w:r>
    </w:p>
    <w:p w:rsidR="002D7995" w:rsidRPr="004B3283" w:rsidRDefault="002D7995" w:rsidP="002D7995">
      <w:pPr>
        <w:pStyle w:val="11"/>
        <w:jc w:val="center"/>
        <w:rPr>
          <w:b/>
          <w:bCs/>
          <w:sz w:val="32"/>
          <w:szCs w:val="28"/>
        </w:rPr>
      </w:pPr>
      <w:r w:rsidRPr="004B3283">
        <w:rPr>
          <w:b/>
          <w:bCs/>
          <w:sz w:val="32"/>
          <w:szCs w:val="28"/>
        </w:rPr>
        <w:t>просить розмістити інформаційні матеріали</w:t>
      </w:r>
    </w:p>
    <w:p w:rsidR="002D7995" w:rsidRDefault="002D7995" w:rsidP="002D7995">
      <w:pPr>
        <w:pStyle w:val="1"/>
        <w:spacing w:before="0" w:beforeAutospacing="0" w:after="0" w:afterAutospacing="0"/>
        <w:ind w:firstLine="567"/>
        <w:jc w:val="center"/>
        <w:rPr>
          <w:sz w:val="24"/>
          <w:szCs w:val="24"/>
        </w:rPr>
      </w:pPr>
    </w:p>
    <w:p w:rsidR="002D7995" w:rsidRDefault="002D7995" w:rsidP="002D7995">
      <w:pPr>
        <w:pStyle w:val="1"/>
        <w:spacing w:before="0" w:beforeAutospacing="0" w:after="0" w:afterAutospacing="0"/>
        <w:ind w:firstLine="567"/>
        <w:jc w:val="center"/>
        <w:rPr>
          <w:sz w:val="24"/>
          <w:szCs w:val="24"/>
        </w:rPr>
      </w:pPr>
    </w:p>
    <w:p w:rsidR="002D7995" w:rsidRPr="002D7995" w:rsidRDefault="002D7995" w:rsidP="002D7995">
      <w:pPr>
        <w:pStyle w:val="1"/>
        <w:spacing w:before="0" w:beforeAutospacing="0" w:after="0" w:afterAutospacing="0"/>
        <w:ind w:firstLine="567"/>
        <w:jc w:val="center"/>
        <w:rPr>
          <w:sz w:val="24"/>
          <w:szCs w:val="24"/>
        </w:rPr>
      </w:pPr>
      <w:bookmarkStart w:id="0" w:name="_GoBack"/>
      <w:bookmarkEnd w:id="0"/>
      <w:r w:rsidRPr="002D7995">
        <w:rPr>
          <w:sz w:val="24"/>
          <w:szCs w:val="24"/>
        </w:rPr>
        <w:t>Податківці звітують про надходження податків до бюджету від буковинських платників</w:t>
      </w:r>
    </w:p>
    <w:p w:rsidR="002D7995" w:rsidRPr="002D7995" w:rsidRDefault="002D7995" w:rsidP="002D7995">
      <w:pPr>
        <w:pStyle w:val="a3"/>
        <w:spacing w:before="0" w:beforeAutospacing="0" w:after="0" w:afterAutospacing="0"/>
        <w:ind w:firstLine="567"/>
        <w:jc w:val="both"/>
      </w:pPr>
      <w:r w:rsidRPr="002D7995">
        <w:t xml:space="preserve">Начальник Головного управління ДПС у Чернівецькій області Віталій Шпак презентував громадськості підсумки сплати податків у січні - липні 2021 року. </w:t>
      </w:r>
    </w:p>
    <w:p w:rsidR="002D7995" w:rsidRPr="002D7995" w:rsidRDefault="002D7995" w:rsidP="002D7995">
      <w:pPr>
        <w:pStyle w:val="a3"/>
        <w:spacing w:before="0" w:beforeAutospacing="0" w:after="0" w:afterAutospacing="0"/>
        <w:ind w:firstLine="567"/>
        <w:jc w:val="both"/>
      </w:pPr>
      <w:r w:rsidRPr="002D7995">
        <w:t xml:space="preserve">Очільник податкової служби області інформує, що від початку цього року платники податків регіону перерахували до бюджетів усіх рівнів 3 млрд 629,3 млн грн податків, що на 652,4 млн грн або 21,9 </w:t>
      </w:r>
      <w:proofErr w:type="spellStart"/>
      <w:r w:rsidRPr="002D7995">
        <w:t>відс</w:t>
      </w:r>
      <w:proofErr w:type="spellEnd"/>
      <w:r w:rsidRPr="002D7995">
        <w:t xml:space="preserve">. перевищує показник аналогічного періоду 2020 року. </w:t>
      </w:r>
    </w:p>
    <w:p w:rsidR="002D7995" w:rsidRPr="002D7995" w:rsidRDefault="002D7995" w:rsidP="002D7995">
      <w:pPr>
        <w:pStyle w:val="a3"/>
        <w:spacing w:before="0" w:beforeAutospacing="0" w:after="0" w:afterAutospacing="0"/>
        <w:ind w:firstLine="567"/>
        <w:jc w:val="both"/>
      </w:pPr>
      <w:r w:rsidRPr="002D7995">
        <w:t xml:space="preserve">За словами посадовця ДПС активно впроваджує сучасні електронні сервіси, які затребувані бізнесом і громадянами та допомагають їм ефективно виконувати свій конституційний обов’язок – сплачувати податки. А принцип зручності процесів у сфері оподаткування дає можливість забезпечити один із пріоритетів роботи податкової служби «Податки – це легко» і відповідно як результат позитивна динаміка сплати податків. </w:t>
      </w:r>
    </w:p>
    <w:p w:rsidR="002D7995" w:rsidRPr="002D7995" w:rsidRDefault="002D7995" w:rsidP="002D7995">
      <w:pPr>
        <w:pStyle w:val="a3"/>
        <w:spacing w:before="0" w:beforeAutospacing="0" w:after="0" w:afterAutospacing="0"/>
        <w:ind w:firstLine="567"/>
        <w:jc w:val="both"/>
      </w:pPr>
      <w:r w:rsidRPr="002D7995">
        <w:t xml:space="preserve"> Загалом, до державного бюджету впродовж січня -  липня надійшло 1млрд 406 млн грн, що на 222,2 млн грн більше ніж за відповідний період 2020 року. За даними аналізу основними джерелами поповнення державної казни за сім місяців були: податок на додану вартість, якого сплачено 562,3 млн  грн, податок на доходи фізичних осіб – 512,0 млн грн, податок на прибуток – 115,7 млн грн  та військовий збір – понад 165,7 млн грн. </w:t>
      </w:r>
    </w:p>
    <w:p w:rsidR="002D7995" w:rsidRPr="002D7995" w:rsidRDefault="002D7995" w:rsidP="002D7995">
      <w:pPr>
        <w:pStyle w:val="a3"/>
        <w:spacing w:before="0" w:beforeAutospacing="0" w:after="0" w:afterAutospacing="0"/>
        <w:ind w:firstLine="567"/>
        <w:jc w:val="both"/>
      </w:pPr>
      <w:r w:rsidRPr="002D7995">
        <w:t xml:space="preserve">Дохідну частину місцевих бюджетів з початку року поповнено на 2 млрд 223,2 млн грн. Приріст надходжень до відповідного періоду минулого року склав   430,1 млн грн. </w:t>
      </w:r>
    </w:p>
    <w:p w:rsidR="002D7995" w:rsidRPr="002D7995" w:rsidRDefault="002D7995" w:rsidP="002D7995">
      <w:pPr>
        <w:pStyle w:val="a3"/>
        <w:spacing w:before="0" w:beforeAutospacing="0" w:after="0" w:afterAutospacing="0"/>
        <w:ind w:firstLine="567"/>
        <w:jc w:val="both"/>
      </w:pPr>
      <w:r w:rsidRPr="002D7995">
        <w:t xml:space="preserve">Лідерство у надходженнях до місцевих бюджетів тримає податок на доходи фізичних осіб, якого сплачено 1 млрд 501,6 млн  грн. До минулого року (+306,4 млн грн). </w:t>
      </w:r>
    </w:p>
    <w:p w:rsidR="002D7995" w:rsidRPr="002D7995" w:rsidRDefault="002D7995" w:rsidP="002D7995">
      <w:pPr>
        <w:pStyle w:val="a3"/>
        <w:spacing w:before="0" w:beforeAutospacing="0" w:after="0" w:afterAutospacing="0"/>
        <w:ind w:firstLine="567"/>
        <w:jc w:val="both"/>
      </w:pPr>
      <w:r w:rsidRPr="002D7995">
        <w:t xml:space="preserve">Позитивна динаміка надходжень і щодо інших податків до місцевих бюджетів. Надходження плати за землю – 227,7 млн грн, (+40,1 млн грн). Єдиного податку - майже 323,0 млн грн, (+58,5 млн грн). </w:t>
      </w:r>
    </w:p>
    <w:p w:rsidR="002D7995" w:rsidRPr="002D7995" w:rsidRDefault="002D7995" w:rsidP="002D7995">
      <w:pPr>
        <w:pStyle w:val="a3"/>
        <w:spacing w:before="0" w:beforeAutospacing="0" w:after="0" w:afterAutospacing="0"/>
        <w:ind w:firstLine="567"/>
        <w:jc w:val="both"/>
      </w:pPr>
      <w:r w:rsidRPr="002D7995">
        <w:t>Інфографіка за посиланням:</w:t>
      </w:r>
      <w:hyperlink r:id="rId5" w:history="1">
        <w:r w:rsidRPr="002D7995">
          <w:rPr>
            <w:rStyle w:val="a5"/>
          </w:rPr>
          <w:t>https://cv.tax.gov.ua/media-ark/fotogalereya/inshi-zahodi/9289.html</w:t>
        </w:r>
      </w:hyperlink>
      <w:r w:rsidRPr="002D7995">
        <w:t xml:space="preserve"> </w:t>
      </w:r>
    </w:p>
    <w:p w:rsidR="002D7995" w:rsidRDefault="002D7995" w:rsidP="002D7995">
      <w:pPr>
        <w:pStyle w:val="1"/>
        <w:spacing w:before="0" w:beforeAutospacing="0" w:after="0" w:afterAutospacing="0"/>
        <w:ind w:firstLine="567"/>
        <w:rPr>
          <w:sz w:val="24"/>
          <w:szCs w:val="24"/>
        </w:rPr>
      </w:pPr>
    </w:p>
    <w:p w:rsidR="002D7995" w:rsidRPr="002D7995" w:rsidRDefault="002D7995" w:rsidP="002D7995">
      <w:pPr>
        <w:pStyle w:val="1"/>
        <w:spacing w:before="0" w:beforeAutospacing="0" w:after="0" w:afterAutospacing="0"/>
        <w:ind w:firstLine="567"/>
        <w:jc w:val="center"/>
        <w:rPr>
          <w:sz w:val="24"/>
          <w:szCs w:val="24"/>
        </w:rPr>
      </w:pPr>
      <w:r w:rsidRPr="002D7995">
        <w:rPr>
          <w:sz w:val="24"/>
          <w:szCs w:val="24"/>
        </w:rPr>
        <w:t>Чи є обов’язковим подання одноразової декларації з 1 вересня?</w:t>
      </w:r>
    </w:p>
    <w:p w:rsidR="002D7995" w:rsidRPr="002D7995" w:rsidRDefault="002D7995" w:rsidP="002D7995">
      <w:pPr>
        <w:pStyle w:val="a3"/>
        <w:spacing w:before="0" w:beforeAutospacing="0" w:after="0" w:afterAutospacing="0"/>
        <w:ind w:firstLine="567"/>
        <w:jc w:val="both"/>
      </w:pPr>
      <w:r w:rsidRPr="002D7995">
        <w:t xml:space="preserve">У Головному управлінні ДПС у Чернівецькій області роз’яснюють, 21 липня 2021 року набрав чинності Закон від 15.06.2021 № 1539-IX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w:t>
      </w:r>
    </w:p>
    <w:p w:rsidR="002D7995" w:rsidRPr="002D7995" w:rsidRDefault="002D7995" w:rsidP="002D7995">
      <w:pPr>
        <w:pStyle w:val="a3"/>
        <w:spacing w:before="0" w:beforeAutospacing="0" w:after="0" w:afterAutospacing="0"/>
        <w:ind w:firstLine="567"/>
        <w:jc w:val="both"/>
      </w:pPr>
      <w:r w:rsidRPr="002D7995">
        <w:t xml:space="preserve">Закон визначає особливості проведення одноразового (спеціального) добровільного декларування активів фізичних осіб, яке відбуватиметься з 1 вересня 2021 року до 1 вересня 2022 року. </w:t>
      </w:r>
    </w:p>
    <w:p w:rsidR="002D7995" w:rsidRPr="002D7995" w:rsidRDefault="002D7995" w:rsidP="002D7995">
      <w:pPr>
        <w:pStyle w:val="a3"/>
        <w:spacing w:before="0" w:beforeAutospacing="0" w:after="0" w:afterAutospacing="0"/>
        <w:ind w:firstLine="567"/>
        <w:jc w:val="both"/>
      </w:pPr>
      <w:r w:rsidRPr="002D7995">
        <w:t xml:space="preserve">Одноразове (спеціальне) добровільне декларування – це особливий порядок добровільного декларування фізичною особою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1 січня 2021 року. </w:t>
      </w:r>
    </w:p>
    <w:p w:rsidR="002D7995" w:rsidRPr="002D7995" w:rsidRDefault="002D7995" w:rsidP="002D7995">
      <w:pPr>
        <w:pStyle w:val="a3"/>
        <w:spacing w:before="0" w:beforeAutospacing="0" w:after="0" w:afterAutospacing="0"/>
        <w:ind w:firstLine="567"/>
        <w:jc w:val="both"/>
      </w:pPr>
      <w:r w:rsidRPr="002D7995">
        <w:t xml:space="preserve">Тобто, подача одноразової (спеціальної) добровільної декларації є правом, а не обов’язком фізичної особи. </w:t>
      </w:r>
    </w:p>
    <w:p w:rsidR="002D7995" w:rsidRDefault="002D7995" w:rsidP="002D7995">
      <w:pPr>
        <w:spacing w:after="0" w:line="240" w:lineRule="auto"/>
        <w:ind w:firstLine="567"/>
        <w:outlineLvl w:val="0"/>
        <w:rPr>
          <w:rFonts w:ascii="Times New Roman" w:eastAsia="Times New Roman" w:hAnsi="Times New Roman" w:cs="Times New Roman"/>
          <w:b/>
          <w:bCs/>
          <w:kern w:val="36"/>
          <w:sz w:val="24"/>
          <w:szCs w:val="24"/>
          <w:lang w:eastAsia="uk-UA"/>
        </w:rPr>
      </w:pPr>
    </w:p>
    <w:p w:rsidR="002D7995" w:rsidRPr="002D7995" w:rsidRDefault="002D7995" w:rsidP="002D7995">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2D7995">
        <w:rPr>
          <w:rFonts w:ascii="Times New Roman" w:eastAsia="Times New Roman" w:hAnsi="Times New Roman" w:cs="Times New Roman"/>
          <w:b/>
          <w:bCs/>
          <w:kern w:val="36"/>
          <w:sz w:val="24"/>
          <w:szCs w:val="24"/>
          <w:lang w:eastAsia="uk-UA"/>
        </w:rPr>
        <w:lastRenderedPageBreak/>
        <w:t>Актуальні відповіді від податківців</w:t>
      </w:r>
    </w:p>
    <w:p w:rsidR="002D7995" w:rsidRPr="002D7995" w:rsidRDefault="002D7995" w:rsidP="002D7995">
      <w:pPr>
        <w:pStyle w:val="a3"/>
        <w:spacing w:before="0" w:beforeAutospacing="0" w:after="0" w:afterAutospacing="0"/>
        <w:ind w:firstLine="567"/>
        <w:jc w:val="both"/>
      </w:pPr>
      <w:r w:rsidRPr="002D7995">
        <w:rPr>
          <w:rStyle w:val="a4"/>
        </w:rPr>
        <w:t>Чи потрібно суб’єкту господарювання додатково реєструватися суб’єктом ЗЕД, якщо він має намір здійснювати таку діяльність?</w:t>
      </w:r>
      <w:r w:rsidRPr="002D7995">
        <w:t xml:space="preserve"> </w:t>
      </w:r>
    </w:p>
    <w:p w:rsidR="002D7995" w:rsidRPr="002D7995" w:rsidRDefault="002D7995" w:rsidP="002D7995">
      <w:pPr>
        <w:pStyle w:val="a3"/>
        <w:spacing w:before="0" w:beforeAutospacing="0" w:after="0" w:afterAutospacing="0"/>
        <w:ind w:firstLine="567"/>
        <w:jc w:val="both"/>
      </w:pPr>
      <w:r w:rsidRPr="002D7995">
        <w:t xml:space="preserve">Відповідно до ст. 5 Закону України від 16 квітня 1991 року № 959-ХІІ «Про зовнішньоекономічну діяльність» зі змінами та доповненнями (далі – Закон) всі суб’єкти зовнішньоекономічної діяльності незалежно від форми власності та інших ознак мають рівне право здійснювати будь-які види зовнішньоекономічної діяльності та дії щодо її провадження, у тому числі будь-які валютні операції та розрахунки в іноземній валюті з іноземними суб’єктами господарської діяльності, що прямо не заборонені або не обмежені законодавством, у тому числі заходами захисту, запровадженими Національним банком України відповідно до Закону України від 21 червня 2018 року № 2473-VIII «Про валюту і валютні операції». </w:t>
      </w:r>
    </w:p>
    <w:p w:rsidR="002D7995" w:rsidRPr="002D7995" w:rsidRDefault="002D7995" w:rsidP="002D7995">
      <w:pPr>
        <w:pStyle w:val="a3"/>
        <w:spacing w:before="0" w:beforeAutospacing="0" w:after="0" w:afterAutospacing="0"/>
        <w:ind w:firstLine="567"/>
        <w:jc w:val="both"/>
      </w:pPr>
      <w:r w:rsidRPr="002D7995">
        <w:t xml:space="preserve">Фізичні особи мають право здійснювати зовнішньоекономічну діяльність з моменту набуття ними цивільної дієздатності згідно з законами України. Фізичні особи, які мають постійне місце проживання на території України, мають зазначене право, якщо вони зареєстровані як підприємці згідно з Законом України від 07 лютого 1991 року № 698-ХII «Про підприємництво». Фізичні особи, які не мають постійного місця проживання на території України, мають зазначене право, якщо вони є суб’єктами господарської діяльності за законом держави, в якій вони мають постійне місце проживання або громадянами якої вони є. Юридичні особи мають право здійснювати зовнішньоекономічну діяльність відповідно до їх статутних документів з моменту набуття ними статусу юридичної особи. </w:t>
      </w:r>
    </w:p>
    <w:p w:rsidR="002D7995" w:rsidRPr="002D7995" w:rsidRDefault="002D7995" w:rsidP="002D7995">
      <w:pPr>
        <w:pStyle w:val="a3"/>
        <w:spacing w:before="0" w:beforeAutospacing="0" w:after="0" w:afterAutospacing="0"/>
        <w:ind w:firstLine="567"/>
        <w:jc w:val="both"/>
      </w:pPr>
      <w:r w:rsidRPr="002D7995">
        <w:t xml:space="preserve">Іноземні суб’єкти господарської діяльності, що здійснюють зовнішньоекономічну діяльність на території України, мають право на відкриття своїх представництв на території України. Акредитацію філій і представництв іноземних банків здійснює Національний банк України відповідно до Закону України 07 грудня 2000 року № 2121-III «Про банки і банківську діяльність». Реєстрацію представництв інших іноземних суб’єктів господарської діяльності здійснює центральний орган виконавчої влади, що забезпечує формування та реалізує державну політику у сфері економічного розвитку, протягом шістдесяти робочих днів з дня подання іноземним суб’єктом господарської діяльності документів на реєстрацію. </w:t>
      </w:r>
    </w:p>
    <w:p w:rsidR="002D7995" w:rsidRPr="002D7995" w:rsidRDefault="002D7995" w:rsidP="002D7995">
      <w:pPr>
        <w:pStyle w:val="a3"/>
        <w:spacing w:before="0" w:beforeAutospacing="0" w:after="0" w:afterAutospacing="0"/>
        <w:ind w:firstLine="567"/>
        <w:jc w:val="both"/>
      </w:pPr>
      <w:r w:rsidRPr="002D7995">
        <w:t xml:space="preserve">При цьому слід зазначити, що чинним законодавством не передбачена додаткова реєстрація в контролюючих органах суб’єктів зовнішньоекономічної діяльності. </w:t>
      </w:r>
    </w:p>
    <w:p w:rsidR="002D7995" w:rsidRDefault="002D7995" w:rsidP="002D7995">
      <w:pPr>
        <w:pStyle w:val="1"/>
        <w:spacing w:before="0" w:beforeAutospacing="0" w:after="0" w:afterAutospacing="0"/>
        <w:ind w:firstLine="567"/>
        <w:rPr>
          <w:sz w:val="24"/>
          <w:szCs w:val="24"/>
        </w:rPr>
      </w:pPr>
    </w:p>
    <w:p w:rsidR="002D7995" w:rsidRPr="002D7995" w:rsidRDefault="002D7995" w:rsidP="002D7995">
      <w:pPr>
        <w:pStyle w:val="1"/>
        <w:spacing w:before="0" w:beforeAutospacing="0" w:after="0" w:afterAutospacing="0"/>
        <w:ind w:firstLine="567"/>
        <w:jc w:val="center"/>
        <w:rPr>
          <w:sz w:val="24"/>
          <w:szCs w:val="24"/>
        </w:rPr>
      </w:pPr>
      <w:r w:rsidRPr="002D7995">
        <w:rPr>
          <w:sz w:val="24"/>
          <w:szCs w:val="24"/>
        </w:rPr>
        <w:t>Платник податків самостійно вибирає ПРРО або РРО для використання в роботі</w:t>
      </w:r>
    </w:p>
    <w:p w:rsidR="002D7995" w:rsidRPr="002D7995" w:rsidRDefault="002D7995" w:rsidP="002D7995">
      <w:pPr>
        <w:pStyle w:val="a3"/>
        <w:spacing w:before="0" w:beforeAutospacing="0" w:after="0" w:afterAutospacing="0"/>
        <w:ind w:firstLine="567"/>
        <w:jc w:val="both"/>
      </w:pPr>
      <w:r w:rsidRPr="002D7995">
        <w:t xml:space="preserve">У Головному управлінні ДПС у Чернівецькій області нагадують, що чинним законодавством не встановлено обмежень щодо використання суб’єктом господарювання наряду з апаратним  РРО програмного реєстратора розрахункових операцій (далі - ПРРО). </w:t>
      </w:r>
    </w:p>
    <w:p w:rsidR="002D7995" w:rsidRPr="002D7995" w:rsidRDefault="002D7995" w:rsidP="002D7995">
      <w:pPr>
        <w:pStyle w:val="a3"/>
        <w:spacing w:before="0" w:beforeAutospacing="0" w:after="0" w:afterAutospacing="0"/>
        <w:ind w:firstLine="567"/>
        <w:jc w:val="both"/>
      </w:pPr>
      <w:r w:rsidRPr="002D7995">
        <w:t xml:space="preserve">Відтак, суб’єкт господарювання виходячи з власних потреб обирає за бажанням вид РРО  (програмний або апаратний) засобами якого здійснюється реєстрація розрахункових операцій відповідно   до вимог Закону України «Про   застосування реєстраторів розрахункових операцій у сфері торгівлі, громадського харчування та послуг» із змінами та доповненнями. </w:t>
      </w:r>
    </w:p>
    <w:p w:rsidR="002D7995" w:rsidRPr="002D7995" w:rsidRDefault="002D7995" w:rsidP="002D7995">
      <w:pPr>
        <w:pStyle w:val="a3"/>
        <w:spacing w:before="0" w:beforeAutospacing="0" w:after="0" w:afterAutospacing="0"/>
        <w:ind w:firstLine="567"/>
        <w:jc w:val="both"/>
      </w:pPr>
      <w:r w:rsidRPr="002D7995">
        <w:t xml:space="preserve">Також слід знати у разі, якщо суб’єкт господарювання приймає рішення використовувати ПРРО замість апаратного РРО, реєстрацію апаратного РРО необхідно скасувати. </w:t>
      </w:r>
    </w:p>
    <w:p w:rsidR="00E1192A" w:rsidRPr="002D7995" w:rsidRDefault="00E1192A" w:rsidP="002D7995">
      <w:pPr>
        <w:spacing w:after="0" w:line="240" w:lineRule="auto"/>
        <w:ind w:firstLine="567"/>
        <w:rPr>
          <w:sz w:val="24"/>
          <w:szCs w:val="24"/>
        </w:rPr>
      </w:pPr>
    </w:p>
    <w:sectPr w:rsidR="00E1192A" w:rsidRPr="002D79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95"/>
    <w:rsid w:val="002D7995"/>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6235"/>
  <w15:chartTrackingRefBased/>
  <w15:docId w15:val="{0FE3906A-2114-4CA7-8858-8CA3CE97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D7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2D7995"/>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2D79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D7995"/>
    <w:rPr>
      <w:b/>
      <w:bCs/>
    </w:rPr>
  </w:style>
  <w:style w:type="character" w:styleId="a5">
    <w:name w:val="Hyperlink"/>
    <w:basedOn w:val="a0"/>
    <w:uiPriority w:val="99"/>
    <w:semiHidden/>
    <w:unhideWhenUsed/>
    <w:rsid w:val="002D7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31987">
      <w:bodyDiv w:val="1"/>
      <w:marLeft w:val="0"/>
      <w:marRight w:val="0"/>
      <w:marTop w:val="0"/>
      <w:marBottom w:val="0"/>
      <w:divBdr>
        <w:top w:val="none" w:sz="0" w:space="0" w:color="auto"/>
        <w:left w:val="none" w:sz="0" w:space="0" w:color="auto"/>
        <w:bottom w:val="none" w:sz="0" w:space="0" w:color="auto"/>
        <w:right w:val="none" w:sz="0" w:space="0" w:color="auto"/>
      </w:divBdr>
    </w:div>
    <w:div w:id="302736700">
      <w:bodyDiv w:val="1"/>
      <w:marLeft w:val="0"/>
      <w:marRight w:val="0"/>
      <w:marTop w:val="0"/>
      <w:marBottom w:val="0"/>
      <w:divBdr>
        <w:top w:val="none" w:sz="0" w:space="0" w:color="auto"/>
        <w:left w:val="none" w:sz="0" w:space="0" w:color="auto"/>
        <w:bottom w:val="none" w:sz="0" w:space="0" w:color="auto"/>
        <w:right w:val="none" w:sz="0" w:space="0" w:color="auto"/>
      </w:divBdr>
    </w:div>
    <w:div w:id="852065265">
      <w:bodyDiv w:val="1"/>
      <w:marLeft w:val="0"/>
      <w:marRight w:val="0"/>
      <w:marTop w:val="0"/>
      <w:marBottom w:val="0"/>
      <w:divBdr>
        <w:top w:val="none" w:sz="0" w:space="0" w:color="auto"/>
        <w:left w:val="none" w:sz="0" w:space="0" w:color="auto"/>
        <w:bottom w:val="none" w:sz="0" w:space="0" w:color="auto"/>
        <w:right w:val="none" w:sz="0" w:space="0" w:color="auto"/>
      </w:divBdr>
      <w:divsChild>
        <w:div w:id="1014497968">
          <w:marLeft w:val="0"/>
          <w:marRight w:val="0"/>
          <w:marTop w:val="0"/>
          <w:marBottom w:val="0"/>
          <w:divBdr>
            <w:top w:val="none" w:sz="0" w:space="0" w:color="auto"/>
            <w:left w:val="none" w:sz="0" w:space="0" w:color="auto"/>
            <w:bottom w:val="none" w:sz="0" w:space="0" w:color="auto"/>
            <w:right w:val="none" w:sz="0" w:space="0" w:color="auto"/>
          </w:divBdr>
        </w:div>
      </w:divsChild>
    </w:div>
    <w:div w:id="1220821191">
      <w:bodyDiv w:val="1"/>
      <w:marLeft w:val="0"/>
      <w:marRight w:val="0"/>
      <w:marTop w:val="0"/>
      <w:marBottom w:val="0"/>
      <w:divBdr>
        <w:top w:val="none" w:sz="0" w:space="0" w:color="auto"/>
        <w:left w:val="none" w:sz="0" w:space="0" w:color="auto"/>
        <w:bottom w:val="none" w:sz="0" w:space="0" w:color="auto"/>
        <w:right w:val="none" w:sz="0" w:space="0" w:color="auto"/>
      </w:divBdr>
    </w:div>
    <w:div w:id="1226452696">
      <w:bodyDiv w:val="1"/>
      <w:marLeft w:val="0"/>
      <w:marRight w:val="0"/>
      <w:marTop w:val="0"/>
      <w:marBottom w:val="0"/>
      <w:divBdr>
        <w:top w:val="none" w:sz="0" w:space="0" w:color="auto"/>
        <w:left w:val="none" w:sz="0" w:space="0" w:color="auto"/>
        <w:bottom w:val="none" w:sz="0" w:space="0" w:color="auto"/>
        <w:right w:val="none" w:sz="0" w:space="0" w:color="auto"/>
      </w:divBdr>
    </w:div>
    <w:div w:id="1305936059">
      <w:bodyDiv w:val="1"/>
      <w:marLeft w:val="0"/>
      <w:marRight w:val="0"/>
      <w:marTop w:val="0"/>
      <w:marBottom w:val="0"/>
      <w:divBdr>
        <w:top w:val="none" w:sz="0" w:space="0" w:color="auto"/>
        <w:left w:val="none" w:sz="0" w:space="0" w:color="auto"/>
        <w:bottom w:val="none" w:sz="0" w:space="0" w:color="auto"/>
        <w:right w:val="none" w:sz="0" w:space="0" w:color="auto"/>
      </w:divBdr>
    </w:div>
    <w:div w:id="2018072478">
      <w:bodyDiv w:val="1"/>
      <w:marLeft w:val="0"/>
      <w:marRight w:val="0"/>
      <w:marTop w:val="0"/>
      <w:marBottom w:val="0"/>
      <w:divBdr>
        <w:top w:val="none" w:sz="0" w:space="0" w:color="auto"/>
        <w:left w:val="none" w:sz="0" w:space="0" w:color="auto"/>
        <w:bottom w:val="none" w:sz="0" w:space="0" w:color="auto"/>
        <w:right w:val="none" w:sz="0" w:space="0" w:color="auto"/>
      </w:divBdr>
    </w:div>
    <w:div w:id="2081059104">
      <w:bodyDiv w:val="1"/>
      <w:marLeft w:val="0"/>
      <w:marRight w:val="0"/>
      <w:marTop w:val="0"/>
      <w:marBottom w:val="0"/>
      <w:divBdr>
        <w:top w:val="none" w:sz="0" w:space="0" w:color="auto"/>
        <w:left w:val="none" w:sz="0" w:space="0" w:color="auto"/>
        <w:bottom w:val="none" w:sz="0" w:space="0" w:color="auto"/>
        <w:right w:val="none" w:sz="0" w:space="0" w:color="auto"/>
      </w:divBdr>
      <w:divsChild>
        <w:div w:id="141932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v.tax.gov.ua/media-ark/fotogalereya/inshi-zahodi/9289.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4450</Words>
  <Characters>2537</Characters>
  <Application>Microsoft Office Word</Application>
  <DocSecurity>0</DocSecurity>
  <Lines>21</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2021-08-09T07:23:00Z</dcterms:created>
  <dcterms:modified xsi:type="dcterms:W3CDTF">2021-08-09T07:31:00Z</dcterms:modified>
</cp:coreProperties>
</file>