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6E2A" w:rsidRPr="007E4138" w:rsidRDefault="00136E2A" w:rsidP="00136E2A">
      <w:pPr>
        <w:pStyle w:val="11"/>
        <w:jc w:val="center"/>
        <w:rPr>
          <w:b/>
          <w:bCs/>
          <w:sz w:val="28"/>
          <w:szCs w:val="32"/>
        </w:rPr>
      </w:pPr>
      <w:r w:rsidRPr="007E4138">
        <w:rPr>
          <w:b/>
          <w:bCs/>
          <w:noProof/>
          <w:sz w:val="28"/>
          <w:szCs w:val="24"/>
        </w:rPr>
        <w:drawing>
          <wp:anchor distT="0" distB="0" distL="114300" distR="114300" simplePos="0" relativeHeight="251659264" behindDoc="1" locked="0" layoutInCell="1" allowOverlap="1" wp14:anchorId="120B9DF6" wp14:editId="62B7933F">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sidRPr="007E4138">
        <w:rPr>
          <w:b/>
          <w:bCs/>
          <w:sz w:val="28"/>
          <w:szCs w:val="24"/>
        </w:rPr>
        <w:t>Головне управління ДПС у Чернівецькій області</w:t>
      </w:r>
    </w:p>
    <w:p w:rsidR="00136E2A" w:rsidRPr="007E4138" w:rsidRDefault="00136E2A" w:rsidP="00136E2A">
      <w:pPr>
        <w:pStyle w:val="11"/>
        <w:jc w:val="center"/>
        <w:rPr>
          <w:b/>
          <w:bCs/>
          <w:sz w:val="28"/>
          <w:szCs w:val="24"/>
        </w:rPr>
      </w:pPr>
      <w:r w:rsidRPr="007E4138">
        <w:rPr>
          <w:b/>
          <w:bCs/>
          <w:sz w:val="28"/>
          <w:szCs w:val="24"/>
        </w:rPr>
        <w:t>просить розмістити інформаційні матеріали</w:t>
      </w:r>
    </w:p>
    <w:p w:rsidR="00136E2A" w:rsidRDefault="00136E2A" w:rsidP="00136E2A">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136E2A" w:rsidRDefault="00136E2A" w:rsidP="00136E2A">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rsidR="006C6684" w:rsidRPr="006C6684" w:rsidRDefault="006C6684" w:rsidP="00136E2A">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6C6684">
        <w:rPr>
          <w:rFonts w:ascii="Times New Roman" w:eastAsia="Times New Roman" w:hAnsi="Times New Roman" w:cs="Times New Roman"/>
          <w:b/>
          <w:bCs/>
          <w:kern w:val="36"/>
          <w:sz w:val="24"/>
          <w:szCs w:val="24"/>
          <w:lang w:eastAsia="uk-UA"/>
        </w:rPr>
        <w:t>Нульове декларування: «Гарячі» запитання та найсвіжіші відповіді на них розміщені на сайті податкової у тематичному банері</w:t>
      </w:r>
    </w:p>
    <w:p w:rsidR="006C6684" w:rsidRPr="00136E2A" w:rsidRDefault="006C6684" w:rsidP="00136E2A">
      <w:pPr>
        <w:pStyle w:val="a3"/>
        <w:spacing w:before="0" w:beforeAutospacing="0" w:after="0" w:afterAutospacing="0"/>
        <w:ind w:firstLine="567"/>
        <w:jc w:val="both"/>
      </w:pPr>
      <w:r w:rsidRPr="00136E2A">
        <w:t xml:space="preserve">У Головному управлінні ДПС у Чернівецькій області нагадують, що з 1 вересня 2021 року громадяни України мають можливість подавати одноразову добровільну декларацію із зазначенням активів, що їм належать, і з яких не були сплачені податки і збори. </w:t>
      </w:r>
    </w:p>
    <w:p w:rsidR="006C6684" w:rsidRPr="00136E2A" w:rsidRDefault="006C6684" w:rsidP="00136E2A">
      <w:pPr>
        <w:pStyle w:val="a3"/>
        <w:spacing w:before="0" w:beforeAutospacing="0" w:after="0" w:afterAutospacing="0"/>
        <w:ind w:firstLine="567"/>
        <w:jc w:val="both"/>
      </w:pPr>
      <w:r w:rsidRPr="00136E2A">
        <w:t xml:space="preserve">У добровільній декларації не потрібно вказувати інформацію про джерела походження задекларованих активів. </w:t>
      </w:r>
    </w:p>
    <w:p w:rsidR="006C6684" w:rsidRPr="00136E2A" w:rsidRDefault="006C6684" w:rsidP="00136E2A">
      <w:pPr>
        <w:pStyle w:val="a3"/>
        <w:spacing w:before="0" w:beforeAutospacing="0" w:after="0" w:afterAutospacing="0"/>
        <w:ind w:firstLine="567"/>
        <w:jc w:val="both"/>
      </w:pPr>
      <w:r w:rsidRPr="00136E2A">
        <w:t xml:space="preserve">Щодо задекларованих активів, з яких громадянин сплатить збір, держава гарантуватиме йому звільнення від відповідальності за порушення податкового, валютного законодавства. </w:t>
      </w:r>
    </w:p>
    <w:p w:rsidR="006C6684" w:rsidRPr="00136E2A" w:rsidRDefault="006C6684" w:rsidP="00136E2A">
      <w:pPr>
        <w:pStyle w:val="a3"/>
        <w:spacing w:before="0" w:beforeAutospacing="0" w:after="0" w:afterAutospacing="0"/>
        <w:ind w:firstLine="567"/>
        <w:jc w:val="both"/>
      </w:pPr>
      <w:r w:rsidRPr="00136E2A">
        <w:t xml:space="preserve">За словами податківців саме тема подання одноразової добровільної декларації була серед новацій, які потребують додаткового роз’яснення і з цією метою зорганізовано ряд публічних заходів, серед яких відповіді на запитання платників під час проведення «гарячих ліній». </w:t>
      </w:r>
    </w:p>
    <w:p w:rsidR="006C6684" w:rsidRPr="00136E2A" w:rsidRDefault="006C6684" w:rsidP="00136E2A">
      <w:pPr>
        <w:pStyle w:val="a3"/>
        <w:spacing w:before="0" w:beforeAutospacing="0" w:after="0" w:afterAutospacing="0"/>
        <w:ind w:firstLine="567"/>
        <w:jc w:val="both"/>
      </w:pPr>
      <w:r w:rsidRPr="00136E2A">
        <w:t xml:space="preserve">У серпні цього року територіальними ДПІ проведено 15  гарячих ліній. Під час проведення цих заходів відповіді на свої запитання отримали 129 буковинців. </w:t>
      </w:r>
    </w:p>
    <w:p w:rsidR="006C6684" w:rsidRPr="00136E2A" w:rsidRDefault="006C6684" w:rsidP="00136E2A">
      <w:pPr>
        <w:pStyle w:val="a3"/>
        <w:spacing w:before="0" w:beforeAutospacing="0" w:after="0" w:afterAutospacing="0"/>
        <w:ind w:firstLine="567"/>
        <w:jc w:val="both"/>
      </w:pPr>
      <w:r w:rsidRPr="00136E2A">
        <w:t xml:space="preserve">Щоб ефективно отримувати інформацію про правила податкової амністії податківці запрошують громадян активно брати участь у всіх заходах серед яких зустрічі з платниками, «гарячі лінії», інтернет конференції, Дні відкритого спілкування, онлайн проект «Запитай у податківця». </w:t>
      </w:r>
    </w:p>
    <w:p w:rsidR="006C6684" w:rsidRPr="00136E2A" w:rsidRDefault="006C6684" w:rsidP="00136E2A">
      <w:pPr>
        <w:pStyle w:val="a3"/>
        <w:spacing w:before="0" w:beforeAutospacing="0" w:after="0" w:afterAutospacing="0"/>
        <w:ind w:firstLine="567"/>
        <w:jc w:val="both"/>
      </w:pPr>
      <w:r w:rsidRPr="00136E2A">
        <w:t xml:space="preserve">Всю необхідну інформацію можна знайти на офіційному порталі Головне управління ДПС у Чернівецькій </w:t>
      </w:r>
      <w:hyperlink r:id="rId5" w:history="1">
        <w:r w:rsidRPr="00136E2A">
          <w:rPr>
            <w:rStyle w:val="a4"/>
          </w:rPr>
          <w:t>https://cv.tax.gov.ua/</w:t>
        </w:r>
      </w:hyperlink>
      <w:r w:rsidRPr="00136E2A">
        <w:t xml:space="preserve"> </w:t>
      </w:r>
    </w:p>
    <w:p w:rsidR="006C6684" w:rsidRPr="00136E2A" w:rsidRDefault="006C6684" w:rsidP="00136E2A">
      <w:pPr>
        <w:pStyle w:val="a3"/>
        <w:spacing w:before="0" w:beforeAutospacing="0" w:after="0" w:afterAutospacing="0"/>
        <w:ind w:firstLine="567"/>
        <w:jc w:val="both"/>
      </w:pPr>
      <w:r w:rsidRPr="00136E2A">
        <w:t xml:space="preserve">Також податківці звертають увагу що інформація  щодо одноразового спеціального декларування оприлюднена в тематичному банері «Одноразове добровільне декларування» розмішений за посиланням: </w:t>
      </w:r>
      <w:hyperlink r:id="rId6" w:history="1">
        <w:r w:rsidRPr="00136E2A">
          <w:rPr>
            <w:rStyle w:val="a4"/>
          </w:rPr>
          <w:t>https://tax.gov.ua/baneryi/odnorazove-dobrovilne-deklaruvannya</w:t>
        </w:r>
      </w:hyperlink>
      <w:r w:rsidRPr="00136E2A">
        <w:t xml:space="preserve"> презентацію щодо одноразового декларування можна переглянути за посиланням: </w:t>
      </w:r>
      <w:hyperlink r:id="rId7" w:history="1">
        <w:r w:rsidRPr="00136E2A">
          <w:rPr>
            <w:rStyle w:val="a4"/>
          </w:rPr>
          <w:t>https://tax.gov.ua/baneryi</w:t>
        </w:r>
      </w:hyperlink>
    </w:p>
    <w:p w:rsidR="00136E2A" w:rsidRDefault="00136E2A" w:rsidP="00136E2A">
      <w:pPr>
        <w:pStyle w:val="1"/>
        <w:spacing w:before="0" w:beforeAutospacing="0" w:after="0" w:afterAutospacing="0"/>
        <w:ind w:firstLine="567"/>
        <w:jc w:val="both"/>
        <w:rPr>
          <w:sz w:val="24"/>
          <w:szCs w:val="24"/>
        </w:rPr>
      </w:pPr>
    </w:p>
    <w:p w:rsidR="00136E2A" w:rsidRPr="00136E2A" w:rsidRDefault="00136E2A" w:rsidP="00136E2A">
      <w:pPr>
        <w:pStyle w:val="1"/>
        <w:spacing w:before="0" w:beforeAutospacing="0" w:after="0" w:afterAutospacing="0"/>
        <w:ind w:firstLine="567"/>
        <w:jc w:val="center"/>
        <w:rPr>
          <w:sz w:val="24"/>
          <w:szCs w:val="24"/>
        </w:rPr>
      </w:pPr>
      <w:r w:rsidRPr="00136E2A">
        <w:rPr>
          <w:sz w:val="24"/>
          <w:szCs w:val="24"/>
        </w:rPr>
        <w:t>РРО запитання: Чи необхідно СГ здійснювати програмування штрихового коду товару (крім підакцизних товарів) у фіскальному касовому чеку?</w:t>
      </w:r>
    </w:p>
    <w:p w:rsidR="00136E2A" w:rsidRPr="00136E2A" w:rsidRDefault="00136E2A" w:rsidP="00136E2A">
      <w:pPr>
        <w:pStyle w:val="a3"/>
        <w:spacing w:before="0" w:beforeAutospacing="0" w:after="0" w:afterAutospacing="0"/>
        <w:ind w:firstLine="567"/>
        <w:jc w:val="both"/>
      </w:pPr>
      <w:r w:rsidRPr="00136E2A">
        <w:t xml:space="preserve">У Головному управлінні ДПС у Чернівецькій області роз’яснюють, норми законодавства, що передбачають програмування штрихового коду товару у фіскальному касовому чеку, носять рекомендаційний характер для товарів, які не є підакцизними. </w:t>
      </w:r>
    </w:p>
    <w:p w:rsidR="00136E2A" w:rsidRPr="00136E2A" w:rsidRDefault="00136E2A" w:rsidP="00136E2A">
      <w:pPr>
        <w:pStyle w:val="a3"/>
        <w:spacing w:before="0" w:beforeAutospacing="0" w:after="0" w:afterAutospacing="0"/>
        <w:ind w:firstLine="567"/>
        <w:jc w:val="both"/>
      </w:pPr>
      <w:r w:rsidRPr="00136E2A">
        <w:t xml:space="preserve">Тобто суб’єкт господарювання за бажанням може запрограмувати до фіскальної пам’яті реєстратора розрахункових операцій (далі – РРО) та/або програмного РРО разом з обов’язковими реквізитами розрахункового документу, передбаченими вимогами Положення про форму та зміст розрахункових документів/електронних розрахункових документів, затвердженого наказом Міністерства фінансів України від 21.01.2016 № 13, штриховий код товару. </w:t>
      </w:r>
    </w:p>
    <w:p w:rsidR="00136E2A" w:rsidRDefault="00136E2A" w:rsidP="00136E2A">
      <w:pPr>
        <w:pStyle w:val="1"/>
        <w:spacing w:before="0" w:beforeAutospacing="0" w:after="0" w:afterAutospacing="0"/>
        <w:ind w:firstLine="567"/>
        <w:jc w:val="center"/>
        <w:rPr>
          <w:sz w:val="24"/>
          <w:szCs w:val="24"/>
        </w:rPr>
      </w:pPr>
    </w:p>
    <w:p w:rsidR="006C6684" w:rsidRPr="00136E2A" w:rsidRDefault="006C6684" w:rsidP="00136E2A">
      <w:pPr>
        <w:pStyle w:val="1"/>
        <w:spacing w:before="0" w:beforeAutospacing="0" w:after="0" w:afterAutospacing="0"/>
        <w:ind w:firstLine="567"/>
        <w:jc w:val="center"/>
        <w:rPr>
          <w:sz w:val="24"/>
          <w:szCs w:val="24"/>
        </w:rPr>
      </w:pPr>
      <w:r w:rsidRPr="00136E2A">
        <w:rPr>
          <w:sz w:val="24"/>
          <w:szCs w:val="24"/>
        </w:rPr>
        <w:t>Здійснення діяльності не за місцем податкової адреси - платники ЄП І-ІІ груп сплачують максимальну ставку</w:t>
      </w:r>
    </w:p>
    <w:p w:rsidR="006C6684" w:rsidRPr="00136E2A" w:rsidRDefault="006C6684" w:rsidP="00136E2A">
      <w:pPr>
        <w:pStyle w:val="a3"/>
        <w:spacing w:before="0" w:beforeAutospacing="0" w:after="0" w:afterAutospacing="0"/>
        <w:ind w:firstLine="567"/>
        <w:jc w:val="both"/>
      </w:pPr>
      <w:r w:rsidRPr="00136E2A">
        <w:t xml:space="preserve">Головне управління ДПС у Чернівецькій області роз'яснює, що 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01 січня податкового (звітного) року (далі – прожитковий мінімум), другої групи – у відсотках (фіксовані ставки) до розміру мінімальної заробітної плати, встановленої законом на 01 січня податкового (звітного) року (далі – мінімальна заробітна плата), третьої групи – у відсотках до доходу (відсоткові ставки) відповідно до п. 293.1 ст. 293 Податкового кодексу України. </w:t>
      </w:r>
    </w:p>
    <w:p w:rsidR="006C6684" w:rsidRPr="00136E2A" w:rsidRDefault="006C6684" w:rsidP="00136E2A">
      <w:pPr>
        <w:pStyle w:val="a3"/>
        <w:spacing w:before="0" w:beforeAutospacing="0" w:after="0" w:afterAutospacing="0"/>
        <w:ind w:firstLine="567"/>
        <w:jc w:val="both"/>
      </w:pPr>
      <w:r w:rsidRPr="00136E2A">
        <w:t xml:space="preserve">Пунктом 293.2 ст. 293 ПКУ визначено, що фіксовані ставки єдиного податку встановлюються сільськими, селищними, міськими радами або радами об’єднаних </w:t>
      </w:r>
      <w:r w:rsidRPr="00136E2A">
        <w:lastRenderedPageBreak/>
        <w:t xml:space="preserve">територіальних громад, що створені згідно із законом та перспективним планом формування територій громад, для фізичних осіб – підприємців, які здійснюють господарську діяльність, залежно від виду господарської діяльності, з розрахунку на календарний місяць: </w:t>
      </w:r>
    </w:p>
    <w:p w:rsidR="006C6684" w:rsidRPr="00136E2A" w:rsidRDefault="006C6684" w:rsidP="00136E2A">
      <w:pPr>
        <w:pStyle w:val="a3"/>
        <w:spacing w:before="0" w:beforeAutospacing="0" w:after="0" w:afterAutospacing="0"/>
        <w:ind w:firstLine="567"/>
        <w:jc w:val="both"/>
      </w:pPr>
      <w:r w:rsidRPr="00136E2A">
        <w:t xml:space="preserve">1) для першої групи платників єдиного податку – не більше 10 %. розміру прожиткового мінімуму; </w:t>
      </w:r>
    </w:p>
    <w:p w:rsidR="006C6684" w:rsidRPr="00136E2A" w:rsidRDefault="006C6684" w:rsidP="00136E2A">
      <w:pPr>
        <w:pStyle w:val="a3"/>
        <w:spacing w:before="0" w:beforeAutospacing="0" w:after="0" w:afterAutospacing="0"/>
        <w:ind w:firstLine="567"/>
        <w:jc w:val="both"/>
      </w:pPr>
      <w:r w:rsidRPr="00136E2A">
        <w:t xml:space="preserve">2) для другої групи платників єдиного податку – не більше 20 %. розміру мінімальної заробітної плати. </w:t>
      </w:r>
    </w:p>
    <w:p w:rsidR="006C6684" w:rsidRPr="00136E2A" w:rsidRDefault="006C6684" w:rsidP="00136E2A">
      <w:pPr>
        <w:pStyle w:val="a3"/>
        <w:spacing w:before="0" w:beforeAutospacing="0" w:after="0" w:afterAutospacing="0"/>
        <w:ind w:firstLine="567"/>
        <w:jc w:val="both"/>
      </w:pPr>
      <w:r w:rsidRPr="00136E2A">
        <w:t xml:space="preserve">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(п. 293.6 ст. 293 ПКУ). </w:t>
      </w:r>
    </w:p>
    <w:p w:rsidR="006C6684" w:rsidRPr="00136E2A" w:rsidRDefault="006C6684" w:rsidP="00136E2A">
      <w:pPr>
        <w:pStyle w:val="a3"/>
        <w:spacing w:before="0" w:beforeAutospacing="0" w:after="0" w:afterAutospacing="0"/>
        <w:ind w:firstLine="567"/>
        <w:jc w:val="both"/>
      </w:pPr>
      <w:r w:rsidRPr="00136E2A">
        <w:t xml:space="preserve">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цією статтею для відповідної групи таких платників єдиного податку (п. 293.7 ст. 293 ПКУ). </w:t>
      </w:r>
    </w:p>
    <w:p w:rsidR="006C6684" w:rsidRPr="00136E2A" w:rsidRDefault="006C6684" w:rsidP="00136E2A">
      <w:pPr>
        <w:pStyle w:val="a3"/>
        <w:spacing w:before="0" w:beforeAutospacing="0" w:after="0" w:afterAutospacing="0"/>
        <w:ind w:firstLine="567"/>
        <w:jc w:val="both"/>
      </w:pPr>
      <w:r w:rsidRPr="00136E2A">
        <w:t xml:space="preserve">Фізична особа – підприємець подає, до контролюючого органу за своєю податковою адресою заяви, звітність, отримує довідки, сплачує податки, тобто, податкова адреса безпосередньо пов’язана з діяльністю підприємця. При цьому господарську діяльність така особа може здійснювати на свій вибір за межами сільської, селищної, місцевої ради, в якій розташована її податкова адреса. </w:t>
      </w:r>
    </w:p>
    <w:p w:rsidR="006C6684" w:rsidRPr="00136E2A" w:rsidRDefault="006C6684" w:rsidP="00136E2A">
      <w:pPr>
        <w:pStyle w:val="a3"/>
        <w:spacing w:before="0" w:beforeAutospacing="0" w:after="0" w:afterAutospacing="0"/>
        <w:ind w:firstLine="567"/>
        <w:jc w:val="both"/>
      </w:pPr>
      <w:r w:rsidRPr="00136E2A">
        <w:t xml:space="preserve">Тобто, фізичною особою – підприємцем – платником єдиного податку першої або другої груп, у разі здійснення діяльності на території однієї сільської, селищної або міської ради (не за місцем податкової адреси) застосовується максимальна ставка єдиного податку на календарний місяць: </w:t>
      </w:r>
    </w:p>
    <w:p w:rsidR="006C6684" w:rsidRPr="00136E2A" w:rsidRDefault="006C6684" w:rsidP="00136E2A">
      <w:pPr>
        <w:pStyle w:val="a3"/>
        <w:spacing w:before="0" w:beforeAutospacing="0" w:after="0" w:afterAutospacing="0"/>
        <w:ind w:firstLine="567"/>
        <w:jc w:val="both"/>
      </w:pPr>
      <w:r w:rsidRPr="00136E2A">
        <w:t xml:space="preserve">10 </w:t>
      </w:r>
      <w:proofErr w:type="spellStart"/>
      <w:r w:rsidRPr="00136E2A">
        <w:t>відс</w:t>
      </w:r>
      <w:proofErr w:type="spellEnd"/>
      <w:r w:rsidRPr="00136E2A">
        <w:t xml:space="preserve">. розміру прожиткового мінімуму – платником єдиного податку першої групи; </w:t>
      </w:r>
    </w:p>
    <w:p w:rsidR="006C6684" w:rsidRPr="00136E2A" w:rsidRDefault="006C6684" w:rsidP="00136E2A">
      <w:pPr>
        <w:pStyle w:val="a3"/>
        <w:spacing w:before="0" w:beforeAutospacing="0" w:after="0" w:afterAutospacing="0"/>
        <w:ind w:firstLine="567"/>
        <w:jc w:val="both"/>
      </w:pPr>
      <w:r w:rsidRPr="00136E2A">
        <w:t xml:space="preserve">20 </w:t>
      </w:r>
      <w:proofErr w:type="spellStart"/>
      <w:r w:rsidRPr="00136E2A">
        <w:t>відс</w:t>
      </w:r>
      <w:proofErr w:type="spellEnd"/>
      <w:r w:rsidRPr="00136E2A">
        <w:t xml:space="preserve">. розміру мінімальної заробітної плати – платником єдиного податку другої групи. </w:t>
      </w:r>
    </w:p>
    <w:p w:rsidR="00E1192A" w:rsidRPr="00136E2A" w:rsidRDefault="00E1192A" w:rsidP="00136E2A">
      <w:pPr>
        <w:spacing w:after="0" w:line="240" w:lineRule="auto"/>
        <w:ind w:firstLine="567"/>
        <w:jc w:val="both"/>
        <w:rPr>
          <w:sz w:val="24"/>
          <w:szCs w:val="24"/>
        </w:rPr>
      </w:pPr>
      <w:bookmarkStart w:id="0" w:name="_GoBack"/>
      <w:bookmarkEnd w:id="0"/>
    </w:p>
    <w:sectPr w:rsidR="00E1192A" w:rsidRPr="00136E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684"/>
    <w:rsid w:val="00136E2A"/>
    <w:rsid w:val="006C6684"/>
    <w:rsid w:val="00987C83"/>
    <w:rsid w:val="00B162AA"/>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2526"/>
  <w15:chartTrackingRefBased/>
  <w15:docId w15:val="{0BE4A5AE-504D-4ADB-9CA3-7274CCEC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C66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6C6684"/>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6C668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6C6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431777">
      <w:bodyDiv w:val="1"/>
      <w:marLeft w:val="0"/>
      <w:marRight w:val="0"/>
      <w:marTop w:val="0"/>
      <w:marBottom w:val="0"/>
      <w:divBdr>
        <w:top w:val="none" w:sz="0" w:space="0" w:color="auto"/>
        <w:left w:val="none" w:sz="0" w:space="0" w:color="auto"/>
        <w:bottom w:val="none" w:sz="0" w:space="0" w:color="auto"/>
        <w:right w:val="none" w:sz="0" w:space="0" w:color="auto"/>
      </w:divBdr>
      <w:divsChild>
        <w:div w:id="1117404979">
          <w:marLeft w:val="0"/>
          <w:marRight w:val="0"/>
          <w:marTop w:val="0"/>
          <w:marBottom w:val="0"/>
          <w:divBdr>
            <w:top w:val="none" w:sz="0" w:space="0" w:color="auto"/>
            <w:left w:val="none" w:sz="0" w:space="0" w:color="auto"/>
            <w:bottom w:val="none" w:sz="0" w:space="0" w:color="auto"/>
            <w:right w:val="none" w:sz="0" w:space="0" w:color="auto"/>
          </w:divBdr>
        </w:div>
      </w:divsChild>
    </w:div>
    <w:div w:id="505286466">
      <w:bodyDiv w:val="1"/>
      <w:marLeft w:val="0"/>
      <w:marRight w:val="0"/>
      <w:marTop w:val="0"/>
      <w:marBottom w:val="0"/>
      <w:divBdr>
        <w:top w:val="none" w:sz="0" w:space="0" w:color="auto"/>
        <w:left w:val="none" w:sz="0" w:space="0" w:color="auto"/>
        <w:bottom w:val="none" w:sz="0" w:space="0" w:color="auto"/>
        <w:right w:val="none" w:sz="0" w:space="0" w:color="auto"/>
      </w:divBdr>
    </w:div>
    <w:div w:id="1089815914">
      <w:bodyDiv w:val="1"/>
      <w:marLeft w:val="0"/>
      <w:marRight w:val="0"/>
      <w:marTop w:val="0"/>
      <w:marBottom w:val="0"/>
      <w:divBdr>
        <w:top w:val="none" w:sz="0" w:space="0" w:color="auto"/>
        <w:left w:val="none" w:sz="0" w:space="0" w:color="auto"/>
        <w:bottom w:val="none" w:sz="0" w:space="0" w:color="auto"/>
        <w:right w:val="none" w:sz="0" w:space="0" w:color="auto"/>
      </w:divBdr>
    </w:div>
    <w:div w:id="1137801349">
      <w:bodyDiv w:val="1"/>
      <w:marLeft w:val="0"/>
      <w:marRight w:val="0"/>
      <w:marTop w:val="0"/>
      <w:marBottom w:val="0"/>
      <w:divBdr>
        <w:top w:val="none" w:sz="0" w:space="0" w:color="auto"/>
        <w:left w:val="none" w:sz="0" w:space="0" w:color="auto"/>
        <w:bottom w:val="none" w:sz="0" w:space="0" w:color="auto"/>
        <w:right w:val="none" w:sz="0" w:space="0" w:color="auto"/>
      </w:divBdr>
    </w:div>
    <w:div w:id="1163004844">
      <w:bodyDiv w:val="1"/>
      <w:marLeft w:val="0"/>
      <w:marRight w:val="0"/>
      <w:marTop w:val="0"/>
      <w:marBottom w:val="0"/>
      <w:divBdr>
        <w:top w:val="none" w:sz="0" w:space="0" w:color="auto"/>
        <w:left w:val="none" w:sz="0" w:space="0" w:color="auto"/>
        <w:bottom w:val="none" w:sz="0" w:space="0" w:color="auto"/>
        <w:right w:val="none" w:sz="0" w:space="0" w:color="auto"/>
      </w:divBdr>
    </w:div>
    <w:div w:id="1164738164">
      <w:bodyDiv w:val="1"/>
      <w:marLeft w:val="0"/>
      <w:marRight w:val="0"/>
      <w:marTop w:val="0"/>
      <w:marBottom w:val="0"/>
      <w:divBdr>
        <w:top w:val="none" w:sz="0" w:space="0" w:color="auto"/>
        <w:left w:val="none" w:sz="0" w:space="0" w:color="auto"/>
        <w:bottom w:val="none" w:sz="0" w:space="0" w:color="auto"/>
        <w:right w:val="none" w:sz="0" w:space="0" w:color="auto"/>
      </w:divBdr>
    </w:div>
    <w:div w:id="1354644675">
      <w:bodyDiv w:val="1"/>
      <w:marLeft w:val="0"/>
      <w:marRight w:val="0"/>
      <w:marTop w:val="0"/>
      <w:marBottom w:val="0"/>
      <w:divBdr>
        <w:top w:val="none" w:sz="0" w:space="0" w:color="auto"/>
        <w:left w:val="none" w:sz="0" w:space="0" w:color="auto"/>
        <w:bottom w:val="none" w:sz="0" w:space="0" w:color="auto"/>
        <w:right w:val="none" w:sz="0" w:space="0" w:color="auto"/>
      </w:divBdr>
      <w:divsChild>
        <w:div w:id="1168448436">
          <w:marLeft w:val="0"/>
          <w:marRight w:val="0"/>
          <w:marTop w:val="0"/>
          <w:marBottom w:val="0"/>
          <w:divBdr>
            <w:top w:val="none" w:sz="0" w:space="0" w:color="auto"/>
            <w:left w:val="none" w:sz="0" w:space="0" w:color="auto"/>
            <w:bottom w:val="none" w:sz="0" w:space="0" w:color="auto"/>
            <w:right w:val="none" w:sz="0" w:space="0" w:color="auto"/>
          </w:divBdr>
        </w:div>
      </w:divsChild>
    </w:div>
    <w:div w:id="1614246739">
      <w:bodyDiv w:val="1"/>
      <w:marLeft w:val="0"/>
      <w:marRight w:val="0"/>
      <w:marTop w:val="0"/>
      <w:marBottom w:val="0"/>
      <w:divBdr>
        <w:top w:val="none" w:sz="0" w:space="0" w:color="auto"/>
        <w:left w:val="none" w:sz="0" w:space="0" w:color="auto"/>
        <w:bottom w:val="none" w:sz="0" w:space="0" w:color="auto"/>
        <w:right w:val="none" w:sz="0" w:space="0" w:color="auto"/>
      </w:divBdr>
      <w:divsChild>
        <w:div w:id="2062095644">
          <w:marLeft w:val="0"/>
          <w:marRight w:val="0"/>
          <w:marTop w:val="0"/>
          <w:marBottom w:val="0"/>
          <w:divBdr>
            <w:top w:val="none" w:sz="0" w:space="0" w:color="auto"/>
            <w:left w:val="none" w:sz="0" w:space="0" w:color="auto"/>
            <w:bottom w:val="none" w:sz="0" w:space="0" w:color="auto"/>
            <w:right w:val="none" w:sz="0" w:space="0" w:color="auto"/>
          </w:divBdr>
        </w:div>
      </w:divsChild>
    </w:div>
    <w:div w:id="1823815397">
      <w:bodyDiv w:val="1"/>
      <w:marLeft w:val="0"/>
      <w:marRight w:val="0"/>
      <w:marTop w:val="0"/>
      <w:marBottom w:val="0"/>
      <w:divBdr>
        <w:top w:val="none" w:sz="0" w:space="0" w:color="auto"/>
        <w:left w:val="none" w:sz="0" w:space="0" w:color="auto"/>
        <w:bottom w:val="none" w:sz="0" w:space="0" w:color="auto"/>
        <w:right w:val="none" w:sz="0" w:space="0" w:color="auto"/>
      </w:divBdr>
    </w:div>
    <w:div w:id="1824007385">
      <w:bodyDiv w:val="1"/>
      <w:marLeft w:val="0"/>
      <w:marRight w:val="0"/>
      <w:marTop w:val="0"/>
      <w:marBottom w:val="0"/>
      <w:divBdr>
        <w:top w:val="none" w:sz="0" w:space="0" w:color="auto"/>
        <w:left w:val="none" w:sz="0" w:space="0" w:color="auto"/>
        <w:bottom w:val="none" w:sz="0" w:space="0" w:color="auto"/>
        <w:right w:val="none" w:sz="0" w:space="0" w:color="auto"/>
      </w:divBdr>
    </w:div>
    <w:div w:id="1918705425">
      <w:bodyDiv w:val="1"/>
      <w:marLeft w:val="0"/>
      <w:marRight w:val="0"/>
      <w:marTop w:val="0"/>
      <w:marBottom w:val="0"/>
      <w:divBdr>
        <w:top w:val="none" w:sz="0" w:space="0" w:color="auto"/>
        <w:left w:val="none" w:sz="0" w:space="0" w:color="auto"/>
        <w:bottom w:val="none" w:sz="0" w:space="0" w:color="auto"/>
        <w:right w:val="none" w:sz="0" w:space="0" w:color="auto"/>
      </w:divBdr>
    </w:div>
    <w:div w:id="1996297020">
      <w:bodyDiv w:val="1"/>
      <w:marLeft w:val="0"/>
      <w:marRight w:val="0"/>
      <w:marTop w:val="0"/>
      <w:marBottom w:val="0"/>
      <w:divBdr>
        <w:top w:val="none" w:sz="0" w:space="0" w:color="auto"/>
        <w:left w:val="none" w:sz="0" w:space="0" w:color="auto"/>
        <w:bottom w:val="none" w:sz="0" w:space="0" w:color="auto"/>
        <w:right w:val="none" w:sz="0" w:space="0" w:color="auto"/>
      </w:divBdr>
      <w:divsChild>
        <w:div w:id="725647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ax.gov.ua/baneryi/odnorazove-dobrovilne-deklaruvannya/rozyasnennya-dlya-platnikiv/prezentats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x.gov.ua/baneryi/odnorazove-dobrovilne-deklaruvannya" TargetMode="External"/><Relationship Id="rId5" Type="http://schemas.openxmlformats.org/officeDocument/2006/relationships/hyperlink" Target="https://cv.tax.gov.u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3688</Words>
  <Characters>2103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2021-09-01T10:04:00Z</dcterms:created>
  <dcterms:modified xsi:type="dcterms:W3CDTF">2021-09-01T10:33:00Z</dcterms:modified>
</cp:coreProperties>
</file>