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0C" w:rsidRPr="005F160C" w:rsidRDefault="005F160C" w:rsidP="005F160C">
      <w:pPr>
        <w:ind w:left="5040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 w:rsidRPr="005F160C">
        <w:rPr>
          <w:sz w:val="28"/>
          <w:szCs w:val="28"/>
          <w:lang w:val="uk-UA"/>
        </w:rPr>
        <w:t>ДОДАТОК</w:t>
      </w:r>
    </w:p>
    <w:p w:rsidR="005F160C" w:rsidRDefault="005F160C" w:rsidP="005F160C">
      <w:pPr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</w:t>
      </w:r>
      <w:r>
        <w:rPr>
          <w:sz w:val="28"/>
          <w:szCs w:val="28"/>
          <w:lang w:val="uk-UA"/>
        </w:rPr>
        <w:t xml:space="preserve"> XI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позачергової сесії міської ради VІІІ скликання</w:t>
      </w:r>
    </w:p>
    <w:p w:rsidR="005F160C" w:rsidRDefault="005F160C" w:rsidP="005F160C">
      <w:pPr>
        <w:ind w:left="9996" w:firstLine="62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28.10.2021 року №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-14/2021</w:t>
      </w:r>
    </w:p>
    <w:p w:rsidR="005F160C" w:rsidRDefault="005F160C" w:rsidP="005F160C">
      <w:pPr>
        <w:shd w:val="clear" w:color="auto" w:fill="FFFFFF"/>
        <w:jc w:val="center"/>
        <w:textAlignment w:val="baseline"/>
        <w:rPr>
          <w:rStyle w:val="a5"/>
        </w:rPr>
      </w:pPr>
    </w:p>
    <w:p w:rsidR="005F160C" w:rsidRDefault="005F160C" w:rsidP="005F160C">
      <w:pPr>
        <w:jc w:val="center"/>
        <w:rPr>
          <w:rFonts w:ascii="Calibri" w:hAnsi="Calibri"/>
          <w:color w:val="000000"/>
          <w:sz w:val="22"/>
          <w:szCs w:val="22"/>
        </w:rPr>
      </w:pPr>
      <w:r>
        <w:tab/>
      </w:r>
    </w:p>
    <w:p w:rsidR="005F160C" w:rsidRPr="005F160C" w:rsidRDefault="005F160C" w:rsidP="005F160C">
      <w:pPr>
        <w:pStyle w:val="1"/>
        <w:rPr>
          <w:lang w:val="ru-RU"/>
        </w:rPr>
      </w:pPr>
    </w:p>
    <w:p w:rsidR="005F160C" w:rsidRDefault="005F160C" w:rsidP="005F160C">
      <w:pPr>
        <w:pStyle w:val="1"/>
      </w:pPr>
      <w:r>
        <w:t>8. НАПРЯМКИ ДІЯЛЬНОСТІ ТА ЗАХОДИ ПРОГРАМИ</w:t>
      </w:r>
    </w:p>
    <w:p w:rsidR="005F160C" w:rsidRDefault="005F160C" w:rsidP="005F160C">
      <w:pPr>
        <w:rPr>
          <w:lang w:val="uk-UA"/>
        </w:rPr>
      </w:pPr>
    </w:p>
    <w:tbl>
      <w:tblPr>
        <w:tblW w:w="154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59"/>
        <w:gridCol w:w="3419"/>
        <w:gridCol w:w="1224"/>
        <w:gridCol w:w="2126"/>
        <w:gridCol w:w="1417"/>
        <w:gridCol w:w="1984"/>
        <w:gridCol w:w="2550"/>
      </w:tblGrid>
      <w:tr w:rsidR="005F160C" w:rsidTr="005F16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tabs>
                <w:tab w:val="left" w:pos="709"/>
              </w:tabs>
              <w:spacing w:line="276" w:lineRule="auto"/>
              <w:ind w:left="-142" w:right="-108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pStyle w:val="4"/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gramEnd"/>
            <w:r>
              <w:rPr>
                <w:sz w:val="20"/>
                <w:szCs w:val="20"/>
                <w:lang w:eastAsia="en-US"/>
              </w:rPr>
              <w:t>іоритетні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завдання</w:t>
            </w:r>
            <w:proofErr w:type="spellEnd"/>
          </w:p>
          <w:p w:rsidR="005F160C" w:rsidRDefault="005F16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pStyle w:val="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eastAsia="en-US"/>
              </w:rPr>
              <w:t>Заходи</w:t>
            </w:r>
          </w:p>
          <w:p w:rsidR="005F160C" w:rsidRDefault="005F16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Термін</w:t>
            </w:r>
          </w:p>
          <w:p w:rsidR="005F160C" w:rsidRDefault="005F160C">
            <w:pPr>
              <w:pStyle w:val="1"/>
              <w:spacing w:line="276" w:lineRule="auto"/>
              <w:ind w:right="-47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pStyle w:val="3"/>
              <w:tabs>
                <w:tab w:val="left" w:pos="1332"/>
              </w:tabs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Виконавці</w:t>
            </w:r>
            <w:proofErr w:type="spellEnd"/>
          </w:p>
          <w:p w:rsidR="005F160C" w:rsidRDefault="005F16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Джерела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Вартість тис.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Очікуваний результат</w:t>
            </w:r>
          </w:p>
        </w:tc>
      </w:tr>
      <w:tr w:rsidR="005F160C" w:rsidRPr="005F160C" w:rsidTr="005F160C">
        <w:trPr>
          <w:trHeight w:val="1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1.</w:t>
            </w: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Впровадження ідеології партнерських відносин між органами ДПС та платниками податків, підвищення рівня їх обслуговування своєчасне та якісне надання адміністративних послуг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Проведення індивідуальної та масово-роз’яснювальної роботи з платниками податків – юридичними та фізичними особами, спрямованої на підвищення обізнаності платників податків щодо норм податкового законодавства, профілактику правопорушень та утвердження в суспільстві ідеології добровільної сплати  податків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>
              <w:rPr>
                <w:sz w:val="20"/>
                <w:lang w:val="uk-UA" w:eastAsia="en-US"/>
              </w:rPr>
              <w:t>2</w:t>
            </w:r>
            <w:r>
              <w:rPr>
                <w:sz w:val="20"/>
                <w:lang w:eastAsia="en-US"/>
              </w:rPr>
              <w:t>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Сторожинецька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Бюджет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2021рік-6,0т.грн.; 2022рік-6,0т.грн..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2023рік-6,0т.грн..</w:t>
            </w:r>
          </w:p>
          <w:p w:rsidR="005F160C" w:rsidRDefault="005F1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Всього - 18,0тис.грн</w:t>
            </w:r>
            <w:r>
              <w:rPr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Наповнення доходної частини місцевого бюджету, упередження збільшення податкового боргу, забезпечення інформованості суб’єктів господарської діяльності</w:t>
            </w:r>
          </w:p>
        </w:tc>
      </w:tr>
      <w:tr w:rsidR="005F160C" w:rsidTr="005F160C">
        <w:trPr>
          <w:trHeight w:val="62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ind w:left="-33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Забезпечення проведення щорічної кампанії декларування доходів громадян із застосуванням найбільш ефективних форм та методів масово-роз’яснювальної роботи,</w:t>
            </w:r>
          </w:p>
          <w:p w:rsidR="005F160C" w:rsidRDefault="005F160C">
            <w:pPr>
              <w:spacing w:line="276" w:lineRule="auto"/>
              <w:ind w:left="-33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(придбання конвертів та марок)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Щороку протягом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І кварталу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Сторожинецька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державна податкова інспекція  Головного управління ДПС у Чернівецькій області</w:t>
            </w:r>
          </w:p>
          <w:p w:rsidR="005F160C" w:rsidRDefault="005F16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Бюджет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2021рік-7,0т.грн.; 2022рік-7,0т.грн..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2023рік-7,0т.грн..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Всього - 21,0тис.грн.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Збільшення податкових надходжень</w:t>
            </w:r>
          </w:p>
        </w:tc>
      </w:tr>
      <w:tr w:rsidR="005F160C" w:rsidRPr="005F160C" w:rsidTr="005F160C">
        <w:trPr>
          <w:trHeight w:val="21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Проведення семінарів, консультацій, зустрічей посадових осіб ДПІ з населенням з актуальних питань податкової політики, роз’яснення на конкретних прикладах важливості своєчасної сплати податків для забезпечення соціально-економічного розвитку держави та її регіонів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pStyle w:val="a3"/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Сторожинецька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Бюджет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2021рік-3,0т.грн.; 2022рік-3,0т.грн.;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2023рік-3,0т.грн..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Всього - 9,0тис.грн.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Забезпечення інформованості суб’єктів підприємницької діяльності</w:t>
            </w:r>
          </w:p>
        </w:tc>
      </w:tr>
      <w:tr w:rsidR="005F160C" w:rsidRPr="005F160C" w:rsidTr="005F160C">
        <w:trPr>
          <w:trHeight w:val="21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pStyle w:val="5"/>
              <w:spacing w:line="276" w:lineRule="auto"/>
              <w:ind w:left="72" w:hanging="180"/>
              <w:jc w:val="center"/>
              <w:rPr>
                <w:b w:val="0"/>
                <w:i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i w:val="0"/>
                <w:sz w:val="20"/>
                <w:szCs w:val="20"/>
                <w:lang w:val="uk-UA" w:eastAsia="en-US"/>
              </w:rPr>
              <w:t>Забезпечення належного функціонування ЦОП (</w:t>
            </w:r>
            <w:r>
              <w:rPr>
                <w:sz w:val="20"/>
                <w:szCs w:val="20"/>
                <w:lang w:val="uk-UA" w:eastAsia="en-US"/>
              </w:rPr>
              <w:t>обслуговування наявної комп’ютерної техніки)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>
              <w:rPr>
                <w:sz w:val="20"/>
                <w:lang w:val="uk-UA" w:eastAsia="en-US"/>
              </w:rPr>
              <w:t>2</w:t>
            </w:r>
            <w:r>
              <w:rPr>
                <w:sz w:val="20"/>
                <w:lang w:eastAsia="en-US"/>
              </w:rPr>
              <w:t>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Сторожинецька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Бюджет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2021рік-6,0т.грн.; 2022рік-6,0т.грн;</w:t>
            </w:r>
          </w:p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2023рік-6,0т.грн;</w:t>
            </w:r>
          </w:p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color w:val="000000"/>
                <w:sz w:val="18"/>
                <w:szCs w:val="18"/>
                <w:lang w:val="uk-UA" w:eastAsia="en-US"/>
              </w:rPr>
              <w:t>Всього – 18,0тис.грн.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spacing w:line="276" w:lineRule="auto"/>
              <w:jc w:val="both"/>
              <w:rPr>
                <w:color w:val="000000"/>
                <w:spacing w:val="3"/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pacing w:val="3"/>
                <w:sz w:val="20"/>
                <w:szCs w:val="20"/>
                <w:lang w:val="uk-UA" w:eastAsia="en-US"/>
              </w:rPr>
              <w:t xml:space="preserve">Дозволить значно зменшити обсяги залучення людських </w:t>
            </w:r>
            <w:r>
              <w:rPr>
                <w:color w:val="000000"/>
                <w:spacing w:val="8"/>
                <w:sz w:val="20"/>
                <w:szCs w:val="20"/>
                <w:lang w:val="uk-UA" w:eastAsia="en-US"/>
              </w:rPr>
              <w:t>ресурсів для цілей управління робочими процесами та забезпечити м</w:t>
            </w:r>
            <w:r>
              <w:rPr>
                <w:color w:val="000000"/>
                <w:spacing w:val="-2"/>
                <w:sz w:val="20"/>
                <w:szCs w:val="20"/>
                <w:lang w:val="uk-UA" w:eastAsia="en-US"/>
              </w:rPr>
              <w:t xml:space="preserve">аксимальне використання існуючих інвестицій в розвиток інформаційних </w:t>
            </w:r>
            <w:r>
              <w:rPr>
                <w:color w:val="000000"/>
                <w:spacing w:val="4"/>
                <w:sz w:val="20"/>
                <w:szCs w:val="20"/>
                <w:lang w:val="uk-UA" w:eastAsia="en-US"/>
              </w:rPr>
              <w:t>технологій,</w:t>
            </w:r>
            <w:r>
              <w:rPr>
                <w:color w:val="000000"/>
                <w:spacing w:val="5"/>
                <w:sz w:val="20"/>
                <w:szCs w:val="20"/>
                <w:lang w:val="uk-UA" w:eastAsia="en-US"/>
              </w:rPr>
              <w:t xml:space="preserve"> забезпечить </w:t>
            </w:r>
            <w:r>
              <w:rPr>
                <w:color w:val="000000"/>
                <w:spacing w:val="2"/>
                <w:sz w:val="20"/>
                <w:szCs w:val="20"/>
                <w:lang w:val="uk-UA" w:eastAsia="en-US"/>
              </w:rPr>
              <w:t xml:space="preserve">можливість проведення аналітичної роботи з високим рівнем складності, які </w:t>
            </w:r>
            <w:r>
              <w:rPr>
                <w:color w:val="000000"/>
                <w:spacing w:val="-2"/>
                <w:sz w:val="20"/>
                <w:szCs w:val="20"/>
                <w:lang w:val="uk-UA" w:eastAsia="en-US"/>
              </w:rPr>
              <w:t xml:space="preserve"> не  можуть виконуватись на менш потужному обладнанні та дозволить </w:t>
            </w:r>
            <w:r>
              <w:rPr>
                <w:color w:val="000000"/>
                <w:spacing w:val="8"/>
                <w:sz w:val="20"/>
                <w:szCs w:val="20"/>
                <w:lang w:val="uk-UA" w:eastAsia="en-US"/>
              </w:rPr>
              <w:t xml:space="preserve">широке впровадження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  <w:lang w:val="uk-UA" w:eastAsia="en-US"/>
              </w:rPr>
              <w:t>ризико</w:t>
            </w:r>
            <w:proofErr w:type="spellEnd"/>
            <w:r>
              <w:rPr>
                <w:color w:val="000000"/>
                <w:spacing w:val="8"/>
                <w:sz w:val="20"/>
                <w:szCs w:val="20"/>
                <w:lang w:val="uk-UA" w:eastAsia="en-US"/>
              </w:rPr>
              <w:t xml:space="preserve"> - орієнтованої системи адміністрування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податків, яке має на меті забезпечити найвищий можливий рівень виявлення </w:t>
            </w:r>
            <w:r>
              <w:rPr>
                <w:color w:val="000000"/>
                <w:spacing w:val="8"/>
                <w:sz w:val="20"/>
                <w:szCs w:val="20"/>
                <w:lang w:val="uk-UA" w:eastAsia="en-US"/>
              </w:rPr>
              <w:t xml:space="preserve">та запобігання порушенням податкового </w:t>
            </w:r>
            <w:r>
              <w:rPr>
                <w:color w:val="000000"/>
                <w:spacing w:val="8"/>
                <w:sz w:val="20"/>
                <w:szCs w:val="20"/>
                <w:lang w:val="uk-UA" w:eastAsia="en-US"/>
              </w:rPr>
              <w:lastRenderedPageBreak/>
              <w:t>законодавства.</w:t>
            </w:r>
          </w:p>
        </w:tc>
      </w:tr>
      <w:tr w:rsidR="005F160C" w:rsidRPr="005F160C" w:rsidTr="005F160C">
        <w:trPr>
          <w:trHeight w:val="21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 w:rsidP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Придбання багатофункціональних пристроїв</w:t>
            </w:r>
            <w:r>
              <w:rPr>
                <w:sz w:val="20"/>
                <w:szCs w:val="20"/>
                <w:lang w:val="uk-UA" w:eastAsia="en-US"/>
              </w:rPr>
              <w:t xml:space="preserve"> (сканери, принтери, ксерокси),</w:t>
            </w:r>
            <w:r>
              <w:rPr>
                <w:sz w:val="20"/>
                <w:szCs w:val="20"/>
                <w:lang w:val="uk-UA" w:eastAsia="en-US"/>
              </w:rPr>
              <w:t xml:space="preserve"> придбання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комп’</w:t>
            </w:r>
            <w:r>
              <w:rPr>
                <w:sz w:val="20"/>
                <w:szCs w:val="20"/>
                <w:lang w:eastAsia="en-US"/>
              </w:rPr>
              <w:t>ютерної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техніки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val="uk-UA" w:eastAsia="en-US"/>
              </w:rPr>
              <w:t>моноблок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val="uk-UA" w:eastAsia="en-US"/>
              </w:rPr>
              <w:t>,</w:t>
            </w:r>
          </w:p>
          <w:p w:rsidR="005F160C" w:rsidRDefault="005F160C" w:rsidP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проведення поточного ремонту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>
              <w:rPr>
                <w:sz w:val="20"/>
                <w:lang w:val="uk-UA" w:eastAsia="en-US"/>
              </w:rPr>
              <w:t>2</w:t>
            </w:r>
            <w:r>
              <w:rPr>
                <w:sz w:val="20"/>
                <w:lang w:eastAsia="en-US"/>
              </w:rPr>
              <w:t>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Сторожинецька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Бюджет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2021рік-25,0т.грн.; 2022рік-23,0т.грн;</w:t>
            </w:r>
          </w:p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2023рік-24,0т.грн;</w:t>
            </w:r>
          </w:p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color w:val="000000"/>
                <w:sz w:val="18"/>
                <w:szCs w:val="18"/>
                <w:lang w:val="uk-UA" w:eastAsia="en-US"/>
              </w:rPr>
              <w:t>Всього – 72,0тис.грн.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F160C" w:rsidTr="005F160C">
        <w:trPr>
          <w:trHeight w:val="14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Придбання інвентарю та інструментів для господарської діяльності, малоцінних предметів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2021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Сторожинецька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державна податкова інспекція  Головного управління ДПС у Чернівецькій області</w:t>
            </w:r>
          </w:p>
          <w:p w:rsidR="005F160C" w:rsidRDefault="005F16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Бюджет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2021рік</w:t>
            </w:r>
            <w:bookmarkStart w:id="0" w:name="_GoBack"/>
            <w:bookmarkEnd w:id="0"/>
            <w:r>
              <w:rPr>
                <w:sz w:val="20"/>
                <w:szCs w:val="20"/>
                <w:lang w:val="uk-UA" w:eastAsia="en-US"/>
              </w:rPr>
              <w:t>-4,0т.грн.; 2022рік-4,0т.грн..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2023рік-4,0т.грн..</w:t>
            </w:r>
          </w:p>
          <w:p w:rsidR="005F160C" w:rsidRDefault="005F1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Всього - 12,0тис.грн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Забезпечення покращення сервісного обслуговування платників,підвищення ефективності та оптимізації умов роботи</w:t>
            </w:r>
          </w:p>
        </w:tc>
      </w:tr>
    </w:tbl>
    <w:p w:rsidR="005F160C" w:rsidRDefault="005F160C" w:rsidP="005F160C">
      <w:pPr>
        <w:ind w:left="7080" w:firstLine="708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5F160C" w:rsidRDefault="005F160C">
      <w:pPr>
        <w:rPr>
          <w:color w:val="000000"/>
          <w:sz w:val="28"/>
          <w:szCs w:val="28"/>
          <w:lang w:val="uk-UA" w:eastAsia="uk-UA"/>
        </w:rPr>
      </w:pPr>
    </w:p>
    <w:p w:rsidR="005F160C" w:rsidRDefault="005F160C">
      <w:pPr>
        <w:rPr>
          <w:color w:val="000000"/>
          <w:sz w:val="28"/>
          <w:szCs w:val="28"/>
          <w:lang w:val="uk-UA" w:eastAsia="uk-UA"/>
        </w:rPr>
      </w:pPr>
    </w:p>
    <w:p w:rsidR="005F160C" w:rsidRDefault="005F160C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</w:t>
      </w:r>
      <w:r w:rsidRPr="003538FF">
        <w:rPr>
          <w:color w:val="000000"/>
          <w:sz w:val="28"/>
          <w:szCs w:val="28"/>
          <w:lang w:val="uk-UA" w:eastAsia="uk-UA"/>
        </w:rPr>
        <w:t xml:space="preserve">ачальник відділу економічного розвитку, </w:t>
      </w:r>
    </w:p>
    <w:p w:rsidR="0085073E" w:rsidRPr="005F160C" w:rsidRDefault="005F160C">
      <w:pPr>
        <w:rPr>
          <w:lang w:val="uk-UA"/>
        </w:rPr>
      </w:pPr>
      <w:r w:rsidRPr="003538FF">
        <w:rPr>
          <w:color w:val="000000"/>
          <w:sz w:val="28"/>
          <w:szCs w:val="28"/>
          <w:lang w:val="uk-UA" w:eastAsia="uk-UA"/>
        </w:rPr>
        <w:t>торгівлі, інвестицій та державних закупівель</w:t>
      </w:r>
      <w:r w:rsidRPr="003538FF"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</w:t>
      </w:r>
      <w:r w:rsidRPr="003538FF">
        <w:rPr>
          <w:b/>
          <w:color w:val="000000"/>
          <w:sz w:val="28"/>
          <w:szCs w:val="28"/>
          <w:lang w:val="uk-UA" w:eastAsia="uk-UA"/>
        </w:rPr>
        <w:t xml:space="preserve"> Юрій </w:t>
      </w:r>
      <w:r>
        <w:rPr>
          <w:b/>
          <w:color w:val="000000"/>
          <w:sz w:val="28"/>
          <w:szCs w:val="28"/>
          <w:lang w:val="uk-UA" w:eastAsia="uk-UA"/>
        </w:rPr>
        <w:t>ДАНЕЛЮК</w:t>
      </w:r>
    </w:p>
    <w:p w:rsidR="005F160C" w:rsidRPr="005F160C" w:rsidRDefault="005F160C">
      <w:pPr>
        <w:rPr>
          <w:lang w:val="uk-UA"/>
        </w:rPr>
      </w:pPr>
    </w:p>
    <w:sectPr w:rsidR="005F160C" w:rsidRPr="005F160C" w:rsidSect="005F160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F"/>
    <w:rsid w:val="005F160C"/>
    <w:rsid w:val="0085073E"/>
    <w:rsid w:val="00D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60C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F16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F16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60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F16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F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F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F160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5F16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qFormat/>
    <w:rsid w:val="005F1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60C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F16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F16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60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F16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F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F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F160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5F16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qFormat/>
    <w:rsid w:val="005F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2021-10-20T13:15:00Z</dcterms:created>
  <dcterms:modified xsi:type="dcterms:W3CDTF">2021-10-20T13:20:00Z</dcterms:modified>
</cp:coreProperties>
</file>