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03D" w:rsidRDefault="000E6883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</w:t>
      </w:r>
      <w:r w:rsidR="001A403D" w:rsidRPr="00286D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  -36</w:t>
      </w:r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71D" w:rsidRPr="00DC171D" w:rsidRDefault="00487950" w:rsidP="00FC1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C171D">
        <w:rPr>
          <w:rFonts w:ascii="Times New Roman" w:hAnsi="Times New Roman" w:cs="Times New Roman"/>
          <w:sz w:val="40"/>
          <w:szCs w:val="40"/>
          <w:lang w:val="uk-UA"/>
        </w:rPr>
        <w:t>ПРОГРАМА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 ЗАБЕЗПЕЧЕННЯ БЕЗПЕКИ ТА СТІЙКОСТІ КРИТИЧНОЇ ІНФРАСТРУКТУРИ, 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>ПІДВИЩЕННЯ СТІЙКОСТІ СТОРОЖИНЕЦЬКОЇ МІСЬКОЇ ТЕРИТОРІАЛЬНОЇ ГРОМАДИ ДО КРИЗОВИХ СИТУАЦІЙ, ВИКЛИКАНИХ ПРИПИНЕННЯМ НАДАННЯ</w:t>
      </w:r>
      <w:r w:rsidR="00FC1395" w:rsidRPr="00FC139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C1395" w:rsidRPr="00DC171D">
        <w:rPr>
          <w:rFonts w:ascii="Times New Roman" w:hAnsi="Times New Roman" w:cs="Times New Roman"/>
          <w:sz w:val="40"/>
          <w:szCs w:val="40"/>
          <w:lang w:val="uk-UA"/>
        </w:rPr>
        <w:t>ВАЖЛИВИХ ДЛЯ ЇЇ ЖИТТЄДІЯЛЬНОСТІ ПОСЛУГ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 (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ЧИ ПОГІРШЕННЯМ 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ЇХ 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>ЯКОСТІ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>)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>АБО ПРИПИНЕННЯ НИМИ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ЗДІЙСНЕННЯ ЖИТТЄВО ВАЖЛИВИХ ФУНКЦІЙ НА 2024-2026 РОКИ </w:t>
      </w:r>
      <w:r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71D" w:rsidRDefault="00DC171D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FC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95" w:rsidRDefault="00FC1395" w:rsidP="00FC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Сторожинець, 2023</w:t>
      </w: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М І С Т</w:t>
      </w: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487950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………………………........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…..….3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487950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A017B2"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 xml:space="preserve"> Програми………………………...........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…………....4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Визначення проблеми на розв’язання якої спрямована Програма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Шляхи і засоби розв</w:t>
      </w:r>
      <w:r w:rsidR="000E6883" w:rsidRPr="000E6883">
        <w:rPr>
          <w:rFonts w:ascii="Times New Roman" w:hAnsi="Times New Roman" w:cs="Times New Roman"/>
          <w:sz w:val="28"/>
          <w:szCs w:val="28"/>
          <w:lang w:val="uk-UA"/>
        </w:rPr>
        <w:t>’язання проблеми на розв’язання якої                спрямована Програма.....................................................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…………………………................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..7</w:t>
      </w:r>
    </w:p>
    <w:p w:rsidR="000E6883" w:rsidRDefault="00A017B2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…........................................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..8</w:t>
      </w: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P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Система управляння та контролю за ходом виконання Програми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</w:t>
      </w:r>
      <w:r w:rsidR="00680B72">
        <w:rPr>
          <w:rFonts w:ascii="Times New Roman" w:hAnsi="Times New Roman" w:cs="Times New Roman"/>
          <w:sz w:val="28"/>
          <w:szCs w:val="28"/>
          <w:lang w:val="uk-UA"/>
        </w:rPr>
        <w:t>..............................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r w:rsidR="00680B72">
        <w:rPr>
          <w:rFonts w:ascii="Times New Roman" w:hAnsi="Times New Roman" w:cs="Times New Roman"/>
          <w:sz w:val="28"/>
          <w:szCs w:val="28"/>
          <w:lang w:val="uk-UA"/>
        </w:rPr>
        <w:t>…12</w:t>
      </w: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50"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17B2" w:rsidRDefault="00A017B2" w:rsidP="000E6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0E6883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D23" w:rsidRDefault="00890D23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68" w:rsidRDefault="00AC2668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7B2" w:rsidRPr="00A017B2" w:rsidRDefault="00A017B2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Загальна характеристика Програми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  <w:vAlign w:val="center"/>
          </w:tcPr>
          <w:p w:rsidR="00A017B2" w:rsidRPr="00342F10" w:rsidRDefault="00DC171D" w:rsidP="00112F30">
            <w:pPr>
              <w:pStyle w:val="a5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</w:t>
            </w:r>
            <w:r w:rsidR="000D3D12">
              <w:rPr>
                <w:kern w:val="24"/>
                <w:sz w:val="28"/>
                <w:szCs w:val="28"/>
                <w:lang w:val="uk-UA"/>
              </w:rPr>
              <w:t>юро Сторожинецької міської ради</w:t>
            </w:r>
            <w:r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017B2" w:rsidRPr="00A017B2" w:rsidTr="00A017B2">
        <w:trPr>
          <w:jc w:val="center"/>
        </w:trPr>
        <w:tc>
          <w:tcPr>
            <w:tcW w:w="4927" w:type="dxa"/>
            <w:vAlign w:val="center"/>
          </w:tcPr>
          <w:p w:rsidR="00A017B2" w:rsidRPr="00A017B2" w:rsidRDefault="00DC171D" w:rsidP="00DC171D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Дата, номер і назва законодавчого</w:t>
            </w:r>
            <w:r w:rsidR="00A017B2" w:rsidRPr="00A017B2">
              <w:rPr>
                <w:kern w:val="24"/>
                <w:sz w:val="28"/>
                <w:szCs w:val="28"/>
                <w:lang w:val="uk-UA"/>
              </w:rPr>
              <w:t xml:space="preserve"> документу про затвердження програми</w:t>
            </w:r>
          </w:p>
        </w:tc>
        <w:tc>
          <w:tcPr>
            <w:tcW w:w="4927" w:type="dxa"/>
            <w:vAlign w:val="center"/>
          </w:tcPr>
          <w:p w:rsidR="00D12424" w:rsidRPr="00A017B2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Закони України </w:t>
            </w:r>
            <w:r w:rsidRPr="000D3D12">
              <w:rPr>
                <w:kern w:val="24"/>
                <w:sz w:val="28"/>
                <w:szCs w:val="28"/>
                <w:lang w:val="uk-UA"/>
              </w:rPr>
              <w:t>«Про критичну інфраструктуру», «Про місцеве самоврядування в Україні», «Про основи національного спротиву», «Про військовий обов’язок і військову службу», «Про оборону України»</w:t>
            </w:r>
            <w:r>
              <w:rPr>
                <w:kern w:val="24"/>
                <w:sz w:val="28"/>
                <w:szCs w:val="28"/>
                <w:lang w:val="uk-UA"/>
              </w:rPr>
              <w:t>, Указ Президента України від 24.02.2022 року № 64/2022 «Про ведення воєнного стану в Україні» (зі змінами)</w:t>
            </w:r>
          </w:p>
        </w:tc>
      </w:tr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A017B2" w:rsidRPr="009902BF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112F3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ради, апарат Сторожинецької міської ради, підприємства, установи та</w:t>
            </w:r>
            <w:r w:rsidRPr="000D3D12">
              <w:rPr>
                <w:kern w:val="24"/>
                <w:sz w:val="28"/>
                <w:szCs w:val="28"/>
                <w:lang w:val="uk-UA"/>
              </w:rPr>
              <w:t xml:space="preserve"> організації усіх форм власності, які забезпечують життєво важливі функції та/або послуги</w:t>
            </w:r>
            <w:r w:rsidR="00112F3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2024, 2025, 2026</w:t>
            </w:r>
            <w:r w:rsidR="00A017B2" w:rsidRPr="00342F10">
              <w:rPr>
                <w:kern w:val="24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</w:t>
            </w:r>
            <w:r w:rsidR="00A017B2" w:rsidRPr="00342F10">
              <w:rPr>
                <w:kern w:val="24"/>
                <w:sz w:val="28"/>
                <w:szCs w:val="28"/>
                <w:lang w:val="uk-UA"/>
              </w:rPr>
              <w:t>юджет Сторожинецької територіальної громади</w:t>
            </w:r>
          </w:p>
        </w:tc>
      </w:tr>
      <w:tr w:rsidR="00AC2668" w:rsidRPr="00342F10" w:rsidTr="00A017B2">
        <w:trPr>
          <w:jc w:val="center"/>
        </w:trPr>
        <w:tc>
          <w:tcPr>
            <w:tcW w:w="4927" w:type="dxa"/>
            <w:vAlign w:val="center"/>
          </w:tcPr>
          <w:p w:rsidR="00AC2668" w:rsidRPr="00342F10" w:rsidRDefault="00AC2668" w:rsidP="00AC266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4927" w:type="dxa"/>
            <w:vAlign w:val="center"/>
          </w:tcPr>
          <w:p w:rsidR="00AC2668" w:rsidRPr="00735DAF" w:rsidRDefault="006A24D8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6</w:t>
            </w:r>
            <w:r w:rsidR="00AC2668">
              <w:rPr>
                <w:kern w:val="24"/>
                <w:sz w:val="28"/>
                <w:szCs w:val="28"/>
                <w:lang w:val="uk-UA"/>
              </w:rPr>
              <w:t>6 940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тис. грн</w:t>
            </w:r>
            <w:r w:rsidR="00AC2668">
              <w:rPr>
                <w:kern w:val="24"/>
                <w:sz w:val="28"/>
                <w:szCs w:val="28"/>
                <w:lang w:val="uk-UA"/>
              </w:rPr>
              <w:t>.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C2668" w:rsidRPr="00342F10" w:rsidTr="00A017B2">
        <w:trPr>
          <w:jc w:val="center"/>
        </w:trPr>
        <w:tc>
          <w:tcPr>
            <w:tcW w:w="4927" w:type="dxa"/>
            <w:vAlign w:val="center"/>
          </w:tcPr>
          <w:p w:rsidR="00AC2668" w:rsidRPr="00082585" w:rsidRDefault="00AC2668" w:rsidP="00AC2668">
            <w:pPr>
              <w:pStyle w:val="a5"/>
              <w:spacing w:after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Міський Бюджет</w:t>
            </w:r>
          </w:p>
          <w:p w:rsidR="00AC2668" w:rsidRPr="00342F10" w:rsidRDefault="00AC2668" w:rsidP="00AC266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Сторожинецької територіальної громади</w:t>
            </w:r>
          </w:p>
        </w:tc>
        <w:tc>
          <w:tcPr>
            <w:tcW w:w="4927" w:type="dxa"/>
            <w:vAlign w:val="center"/>
          </w:tcPr>
          <w:p w:rsidR="00AC2668" w:rsidRPr="00735DAF" w:rsidRDefault="00B3010D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</w:t>
            </w:r>
            <w:r w:rsidR="00AC2668">
              <w:rPr>
                <w:kern w:val="24"/>
                <w:sz w:val="28"/>
                <w:szCs w:val="28"/>
                <w:lang w:val="uk-UA"/>
              </w:rPr>
              <w:t>6 940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B3010D" w:rsidRPr="00B3010D" w:rsidTr="00A017B2">
        <w:trPr>
          <w:jc w:val="center"/>
        </w:trPr>
        <w:tc>
          <w:tcPr>
            <w:tcW w:w="4927" w:type="dxa"/>
            <w:vAlign w:val="center"/>
          </w:tcPr>
          <w:p w:rsidR="00B3010D" w:rsidRPr="00082585" w:rsidRDefault="00B3010D" w:rsidP="00AC2668">
            <w:pPr>
              <w:pStyle w:val="a5"/>
              <w:spacing w:after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Державний Бюджет </w:t>
            </w:r>
          </w:p>
        </w:tc>
        <w:tc>
          <w:tcPr>
            <w:tcW w:w="4927" w:type="dxa"/>
            <w:vAlign w:val="center"/>
          </w:tcPr>
          <w:p w:rsidR="00B3010D" w:rsidRDefault="00B3010D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50 000 тис. грн. </w:t>
            </w:r>
          </w:p>
        </w:tc>
      </w:tr>
    </w:tbl>
    <w:p w:rsidR="0091370E" w:rsidRDefault="0091370E" w:rsidP="000D3D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0D3D12" w:rsidRDefault="00112F30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Програма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FC1395" w:rsidRP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забезпечення безпеки та стійкості критичної інфрас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труктури, підвищення стійкості С</w:t>
      </w:r>
      <w:r w:rsidR="00FC1395" w:rsidRP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торожинецької міської територіальної громади до кризових ситуацій, викликаних припиненням надання важливих для її життєдіяльності послуг (чи погіршенням їх якості) або припинення ними здійснення життєво важливих функцій на 2024-2026 роки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(далі – Програма), р</w:t>
      </w: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озроблена відповід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но до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Конституції України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Законів України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«Про критичну інфраструктуру», «Про місцеве самоврядування в Україні», «Про основи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 xml:space="preserve">національного спротиву», «Про військовий обов’язок і військову службу», «Про оборону України», Указ Президента України від 24.02.2022 року 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                              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№ 64/2022 «Про ведення воєнного стану в Україні» (зі змінами)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, рішення Ради національної безпеки 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і оборони України від 07.11.2023 року «Щодо додаткових заходів із посилення стійкості економіки до роботи в осінньо-зимовий період 2023 – 2024 року» введеного в дію Указом Президента України від 07.11.2023 року № 737/2023. В Програмі передбачено комплекс заходів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що будуть здійснюватись</w:t>
      </w:r>
      <w:r w:rsidR="00595678"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на місцевому рівні з метою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збільшення використання альтернативних джерел енергії та підвищення енергоефективності із забезпеченням відповідного фінансування міською радою. Забезпечення вищенаведених заходів дасть змогу ефективно за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безпечити безпеку із підсиленням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стійкості критичної інфраструктури, яка забезпечує життєдіяльність Сторожинецької міської територіальної громади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 урахуванням дій щодо посилення захисту об’єктів 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критичної інфраструктури від фізичних та </w:t>
      </w:r>
      <w:proofErr w:type="spellStart"/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кібер-загроз</w:t>
      </w:r>
      <w:proofErr w:type="spellEnd"/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що в свою чергу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підвищить стійкість міської громади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до кризової ситуації, викликана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припиненням чи погіршенням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якості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надання важливих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для її життєдіяльності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послуг чи здійснення важливих функцій.  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D12424" w:rsidRDefault="00D12424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D12424" w:rsidRPr="00701DB7" w:rsidRDefault="00D12424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701D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2. Мета та завдання Програми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Метою Програми є реалізація комплексу заходів, спрямованих на забезпечення стійкості, безперервності функціонування об’єктів критичної інфраструктури, надання життєво важлив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их послуг населенню Сторожинецької міської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на випадок виникнення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загроз чи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кризових ситуацій.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Програмою підвищення стійкості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 до кризових ситуацій передбачається виконання наступних основних заходів: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підвищення стійкості територіальної громади до кризових ситуацій, викликаних припиненням надання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чи погіршенням якості надання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важливих для життєдіяльності послуг або припиненням здійснення життєво важливих функцій;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вдосконалення організації захисту населення громадян, які проживають на території громади;</w:t>
      </w:r>
    </w:p>
    <w:p w:rsidR="00970927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недопущення припинення або призупинення діяльності об’єктами критичної інфраструктури на території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здійснення ними життєво важливих функцій та завдань для забезпечення населення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громади.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896920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Основними завданнями Програми є: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1) вжиття заходів щодо підвищення стійкості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територіальної громади до кризових ситуацій, викликаних припиненням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>надання чи погіршенням якості надання важливих для їх життєдіяльності послуг або припиненням здій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снення життєво важливих функцій.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2) забезпечення захисту об’єктів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громади,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що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спрямовані на своєчасне виявлення, запобігання і нейтралізацію загроз безпеці об’єктів критичної інфраструктури, а також мінімізацію та ліквідацію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їх наслідків.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3) організація та проведення захисту національних інтересів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Сторожинецькою міською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радою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щодо забезпечення всім необхідним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для життя та належного функціонування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4) забезпечення життєдіяльності населення і функціонування об’єктів критичної інфраструктури у межах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5) забезпечення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життєво важливими послугами: енергозабезпечення, водопостачання та водовідведення;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6) забезпечення безперебійного функціонування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для потреб національного спротиву, об’єктів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701DB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7) недопущення припинення або п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ризупинення діяльності об’єктів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та безперебійне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здійснення ними життєво важливих функцій та завдань для забезпечення військових та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громади.</w:t>
      </w:r>
      <w:r w:rsidR="00193089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cr/>
      </w:r>
    </w:p>
    <w:p w:rsidR="00701DB7" w:rsidRDefault="00701DB7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701D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3. Визначення проблеми на розв’язання якої спрямована Програма</w:t>
      </w:r>
    </w:p>
    <w:p w:rsid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На сьогодні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 умовах воєнного стану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є необхідність забезпечення захисту критичної інфраструктури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території Сторожинецької міської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ради, що є складовою частиною забезпечення національної безпеки України в цілому.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Об’єкти критичної інфраструктур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и, що розташовані  на території громади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 виконують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життєво важливі функції, порушення роботи яких призводить до негативних наслідків для населення. Зокрема, відсутність електропостачання, централізованого водопостачання та централізованого водовідведення, газопостачання,  медичного забезпечення, пасажирських перевезень, тощо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внаслідок порушення роботи об’єктів критичної інфраструктури матиме негативний вплив на життя та здоров’я населен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ня. Тому критична інфраструктура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потребує системного підходу до забезпечення власної безпеки та стійкості.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 метою недопущення кризових ситуацій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громади, викликаних припиненням надання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чи погіршенням якості надання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важливих для життєдіяльності послуг або припиненням здій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снення життєво важливих функцій;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відновлення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 xml:space="preserve">функціонування об’єктів критичної інфраструктури,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Сторожинецька міська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територіальна громада вживає всіх необхідних заходів щодо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забезпечення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режиму безперебійного функціонування об’єктів критичної інфраструктури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Своєчасне попередження, виявлення, запобігання і нейтралізація загроз безпеки об’єктів критичної інфраструктури, а також мінімізація та вжиття всіх необхідних заходів щодо ліквідації негативних наслідків внаслідок можливих кризових ситуацій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є одним з пріоритетних завдань у діяльності органів місцевого самоврядування, підприємств, установ, організацій (операторів критичної інфраструктури).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У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ідповідності до Закону України «Про критичну інфраструктуру»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захист критичної інфраструктури ґрунтується на засадах: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визначення необхідності забезпечення захисту та стійкості критичної інфраструктури;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створення умов та впровадження заходів, спрямованих на ефективне зниження і контроль за ризиками безпеки, на зниження ризику реалізації можливих загроз, ліквідацію та/або мінімізацію наслідків реалізованих загроз, кризових ситуацій та інших їх видів;</w:t>
      </w:r>
    </w:p>
    <w:p w:rsid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створення умов швидкого відновлення, надання життєво важливих функцій та послуг у разі реалізації загроз і порушення функціонування критичної інфраструктури.</w:t>
      </w:r>
    </w:p>
    <w:p w:rsidR="000E6883" w:rsidRDefault="000E6883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5729F7" w:rsidRDefault="00387DFD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4. О</w:t>
      </w:r>
      <w:r w:rsidR="00970927" w:rsidRPr="0097092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чікувані результативні показники Програми</w:t>
      </w:r>
    </w:p>
    <w:p w:rsidR="005729F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Реалізація Програми дасть можливість підвищити стійкість територіальної громади до кризових ситуацій, викликаних припиненням або погіршенням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якості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надання важливих для її життєдіяльності послуг чи для здійснення життєво важливих функцій.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В результаті виконання заходів Програми буде забезпечено: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збереження, захист життєво важливих функцій та/або послуг, що надаються об’єктами критичної і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нфраструктури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виведення з ладу яких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становлять загрозу для життєдіяльності військових та населення громади;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належний рівень захисту стратегічних об’єктів та громадян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від терористичних та інших загроз;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забезпечення сил оборони та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територіальної громади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харчовими продуктами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через організацію їх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виробництва;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забезпечення життєдіяльності населення і функціонування об’єктів інфраструктури у межах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задоволення продовольчих потреб територіальної громади.</w:t>
      </w:r>
    </w:p>
    <w:p w:rsidR="00387DFD" w:rsidRDefault="00387DFD" w:rsidP="00387D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91370E" w:rsidRDefault="0091370E" w:rsidP="0091370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91370E" w:rsidRDefault="0091370E" w:rsidP="0091370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5729F7" w:rsidRDefault="005729F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5729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lastRenderedPageBreak/>
        <w:t>5. Ресурсне забезпечення Програми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134"/>
        <w:gridCol w:w="2091"/>
      </w:tblGrid>
      <w:tr w:rsidR="005729F7" w:rsidRPr="00387DFD" w:rsidTr="00AC2668">
        <w:trPr>
          <w:jc w:val="center"/>
        </w:trPr>
        <w:tc>
          <w:tcPr>
            <w:tcW w:w="3936" w:type="dxa"/>
            <w:vMerge w:val="restart"/>
            <w:vAlign w:val="center"/>
          </w:tcPr>
          <w:p w:rsidR="005729F7" w:rsidRPr="00387DFD" w:rsidRDefault="00C53820" w:rsidP="00AC26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Джерела фінансування                 </w:t>
            </w:r>
          </w:p>
        </w:tc>
        <w:tc>
          <w:tcPr>
            <w:tcW w:w="3827" w:type="dxa"/>
            <w:gridSpan w:val="3"/>
            <w:vAlign w:val="center"/>
          </w:tcPr>
          <w:p w:rsidR="005729F7" w:rsidRPr="00387DFD" w:rsidRDefault="00AC266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Етапи в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иконання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vMerge w:val="restart"/>
            <w:vAlign w:val="center"/>
          </w:tcPr>
          <w:p w:rsidR="005729F7" w:rsidRPr="00387DFD" w:rsidRDefault="00AC266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фінансування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 </w:t>
            </w:r>
          </w:p>
        </w:tc>
      </w:tr>
      <w:tr w:rsidR="00890D23" w:rsidRPr="00387DFD" w:rsidTr="00AC2668">
        <w:trPr>
          <w:cantSplit/>
          <w:trHeight w:val="863"/>
          <w:jc w:val="center"/>
        </w:trPr>
        <w:tc>
          <w:tcPr>
            <w:tcW w:w="3936" w:type="dxa"/>
            <w:vMerge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276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2025 рік </w:t>
            </w:r>
          </w:p>
        </w:tc>
        <w:tc>
          <w:tcPr>
            <w:tcW w:w="1134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2091" w:type="dxa"/>
            <w:vMerge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0D23" w:rsidRPr="00387DFD" w:rsidTr="00AC2668">
        <w:trPr>
          <w:jc w:val="center"/>
        </w:trPr>
        <w:tc>
          <w:tcPr>
            <w:tcW w:w="393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91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90D23" w:rsidRPr="00387DFD" w:rsidTr="00AC2668">
        <w:trPr>
          <w:jc w:val="center"/>
        </w:trPr>
        <w:tc>
          <w:tcPr>
            <w:tcW w:w="393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</w:t>
            </w:r>
            <w:r w:rsidR="00C538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які пропонується залучати </w:t>
            </w:r>
          </w:p>
        </w:tc>
        <w:tc>
          <w:tcPr>
            <w:tcW w:w="1417" w:type="dxa"/>
            <w:vAlign w:val="center"/>
          </w:tcPr>
          <w:p w:rsidR="005729F7" w:rsidRPr="00387DFD" w:rsidRDefault="006A24D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6D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7 130</w:t>
            </w:r>
          </w:p>
        </w:tc>
        <w:tc>
          <w:tcPr>
            <w:tcW w:w="1276" w:type="dxa"/>
            <w:vAlign w:val="center"/>
          </w:tcPr>
          <w:p w:rsidR="005729F7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5 470</w:t>
            </w:r>
          </w:p>
        </w:tc>
        <w:tc>
          <w:tcPr>
            <w:tcW w:w="1134" w:type="dxa"/>
            <w:vAlign w:val="center"/>
          </w:tcPr>
          <w:p w:rsidR="005729F7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4 340</w:t>
            </w:r>
          </w:p>
        </w:tc>
        <w:tc>
          <w:tcPr>
            <w:tcW w:w="2091" w:type="dxa"/>
            <w:vAlign w:val="center"/>
          </w:tcPr>
          <w:p w:rsidR="005729F7" w:rsidRPr="00387DFD" w:rsidRDefault="006A24D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B6D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6 940</w:t>
            </w:r>
          </w:p>
        </w:tc>
      </w:tr>
      <w:tr w:rsidR="00735DAF" w:rsidRPr="00387DFD" w:rsidTr="00AC2668">
        <w:trPr>
          <w:jc w:val="center"/>
        </w:trPr>
        <w:tc>
          <w:tcPr>
            <w:tcW w:w="3936" w:type="dxa"/>
            <w:vAlign w:val="center"/>
          </w:tcPr>
          <w:p w:rsidR="00735DAF" w:rsidRPr="00387DFD" w:rsidRDefault="00735DAF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1417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7 130 </w:t>
            </w:r>
          </w:p>
        </w:tc>
        <w:tc>
          <w:tcPr>
            <w:tcW w:w="1276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5 470 </w:t>
            </w:r>
          </w:p>
        </w:tc>
        <w:tc>
          <w:tcPr>
            <w:tcW w:w="1134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4 340 </w:t>
            </w:r>
          </w:p>
        </w:tc>
        <w:tc>
          <w:tcPr>
            <w:tcW w:w="2091" w:type="dxa"/>
            <w:vAlign w:val="center"/>
          </w:tcPr>
          <w:p w:rsidR="00735DAF" w:rsidRPr="00387DFD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8B6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6 940</w:t>
            </w:r>
          </w:p>
        </w:tc>
      </w:tr>
      <w:tr w:rsidR="0091370E" w:rsidRPr="00387DFD" w:rsidTr="00AC2668">
        <w:trPr>
          <w:jc w:val="center"/>
        </w:trPr>
        <w:tc>
          <w:tcPr>
            <w:tcW w:w="3936" w:type="dxa"/>
            <w:vAlign w:val="center"/>
          </w:tcPr>
          <w:p w:rsidR="0091370E" w:rsidRPr="00387DFD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Державний Бюджет </w:t>
            </w:r>
          </w:p>
        </w:tc>
        <w:tc>
          <w:tcPr>
            <w:tcW w:w="1417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276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91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</w:tbl>
    <w:p w:rsidR="00890D23" w:rsidRDefault="00890D23" w:rsidP="00890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90D23" w:rsidSect="00E56058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D23" w:rsidRPr="00A908B4" w:rsidRDefault="00890D23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8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Напрями діяльності та заходи Програми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274AB6" w:rsidRPr="00874C2E" w:rsidTr="00655FE1">
        <w:tc>
          <w:tcPr>
            <w:tcW w:w="560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AA7729" w:rsidRPr="00874C2E" w:rsidRDefault="00AA7729" w:rsidP="00AA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55FE1" w:rsidRPr="00874C2E" w:rsidTr="00655FE1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8" w:type="dxa"/>
            <w:vAlign w:val="center"/>
          </w:tcPr>
          <w:p w:rsidR="00874C2E" w:rsidRPr="009F7184" w:rsidRDefault="00703D79" w:rsidP="00274AB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Навчання персоналу операторів об’єктів критичної інфраструктури щодо порядку реагування на кризові ситуації і розробка організаційних заходів запобігання кризовим ситуаціям на об’єктах критичної інфраструктури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правильного реагування в кризових ситуаціях</w:t>
            </w:r>
          </w:p>
        </w:tc>
      </w:tr>
      <w:tr w:rsidR="00703D79" w:rsidRPr="00735DAF" w:rsidTr="00655FE1">
        <w:tc>
          <w:tcPr>
            <w:tcW w:w="560" w:type="dxa"/>
            <w:vAlign w:val="center"/>
          </w:tcPr>
          <w:p w:rsidR="00703D79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8" w:type="dxa"/>
            <w:vAlign w:val="center"/>
          </w:tcPr>
          <w:p w:rsidR="00703D79" w:rsidRPr="009F7184" w:rsidRDefault="00703D79" w:rsidP="00274AB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Розробка паспортів безпеки об’єктів критичної інфраструктури</w:t>
            </w:r>
          </w:p>
        </w:tc>
        <w:tc>
          <w:tcPr>
            <w:tcW w:w="2126" w:type="dxa"/>
            <w:vMerge/>
            <w:vAlign w:val="center"/>
          </w:tcPr>
          <w:p w:rsidR="00703D79" w:rsidRPr="00735DAF" w:rsidRDefault="00703D7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03D79" w:rsidRPr="00735DAF" w:rsidRDefault="00703D7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851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551" w:type="dxa"/>
            <w:vAlign w:val="center"/>
          </w:tcPr>
          <w:p w:rsidR="00703D79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безпеки об’єктів критичної інфраструктури</w:t>
            </w:r>
          </w:p>
        </w:tc>
      </w:tr>
      <w:tr w:rsidR="009F7184" w:rsidRPr="009902BF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BD60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Забезпечити наявність додаткових місць та ємностей для зберігання паливно-мастильних матеріалів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551" w:type="dxa"/>
            <w:vMerge w:val="restart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фізичного захисту об’єктів критичної інфраструктури, із створенням матеріальних резервів, вчасного надання послуг для забезпечення важливих функцій  </w:t>
            </w:r>
          </w:p>
        </w:tc>
      </w:tr>
      <w:tr w:rsidR="009F7184" w:rsidRPr="00703D79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926E0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Оперативне відновлення об’єктів (придбання резервних матеріалів і обладнання, залучення спеціалізованої техніки та робочої сили, спеціалізованих підприємств, необхідних для відновлення об’єктів критичної інфраструктури), тощо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708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551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184" w:rsidRPr="00703D79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874C2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Забезпечення системами зберігання енергії, придбання альтернативних джерел електроенергії, паливно-мастильних матеріалів, джерел резервного живлення  для безперебійної роботи пріоритетних об’єктів</w:t>
            </w:r>
            <w:r w:rsidR="0063122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3500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8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551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79" w:rsidRPr="00874C2E" w:rsidTr="00FD3142">
        <w:tc>
          <w:tcPr>
            <w:tcW w:w="560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703D79" w:rsidRPr="00874C2E" w:rsidTr="00FD3142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79" w:rsidRPr="009F7184" w:rsidTr="00FD3142">
        <w:tc>
          <w:tcPr>
            <w:tcW w:w="560" w:type="dxa"/>
            <w:vAlign w:val="center"/>
          </w:tcPr>
          <w:p w:rsidR="00703D79" w:rsidRPr="00735DAF" w:rsidRDefault="009F7184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68" w:type="dxa"/>
            <w:vAlign w:val="center"/>
          </w:tcPr>
          <w:p w:rsidR="00703D79" w:rsidRPr="006238FC" w:rsidRDefault="0063122B" w:rsidP="00703D7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Впровадженню заходів запобігання проявам несанкціонованого втручання у функціонування об’єктів критичної інфраструктури (забезпечення кіберзахисту інформаційної системи об’єктів із придбанням спеціального програмного забезпечення, комп’ютерної та іншої техніки, ліцензійних операційних систем, офісного та антивірусного програмного забезпечення, тощо).</w:t>
            </w:r>
          </w:p>
        </w:tc>
        <w:tc>
          <w:tcPr>
            <w:tcW w:w="2126" w:type="dxa"/>
            <w:vMerge w:val="restart"/>
            <w:vAlign w:val="center"/>
          </w:tcPr>
          <w:p w:rsidR="00703D79" w:rsidRPr="00735DAF" w:rsidRDefault="009F7184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703D79" w:rsidRPr="00735DAF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851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851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551" w:type="dxa"/>
            <w:vAlign w:val="center"/>
          </w:tcPr>
          <w:p w:rsidR="00703D79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кіберзахисту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критичної інфраструктури</w:t>
            </w:r>
          </w:p>
        </w:tc>
      </w:tr>
      <w:tr w:rsidR="0063122B" w:rsidRPr="009902BF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Придбання матеріалів та обладнання для охорони об'єктів критичної інфраструктури та об’єктів, що забезпечують життєдіяльність міської громади(придбання та влаштування системи відеоспостереження, залучення спеціалізованої техніки та робочої сили, спеціалізованих підприємств тощо)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фізичного захисту об’єктів критичної інфраструктури, із створенням матеріальних резервів, вчасного надання послуг для забезпечення важливих функцій  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Придбання матеріалів та обладнання для проведення невідкладних аварійно-рятувальних робіт (труби різних діаметрів, засувки, муфти, крани, електроди, інструменти, мотопомпи, шанцевий інструмент, спеціальне обладнання та інше)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2551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8FC" w:rsidRPr="00874C2E" w:rsidTr="00FD3142">
        <w:tc>
          <w:tcPr>
            <w:tcW w:w="560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238FC" w:rsidRPr="00874C2E" w:rsidTr="00FD3142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22B" w:rsidRPr="00735DAF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68" w:type="dxa"/>
            <w:vAlign w:val="center"/>
          </w:tcPr>
          <w:p w:rsidR="0063122B" w:rsidRPr="00735DAF" w:rsidRDefault="0063122B" w:rsidP="00623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з проведення інженерно-технічних заходів щодо прикриття об’єктів критичної інфрастру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ктури</w:t>
            </w:r>
          </w:p>
        </w:tc>
        <w:tc>
          <w:tcPr>
            <w:tcW w:w="2126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551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безперебійного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створення резерву для ремонту об’єктів та їх елементів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8" w:type="dxa"/>
            <w:vAlign w:val="center"/>
          </w:tcPr>
          <w:p w:rsidR="0063122B" w:rsidRPr="00703D79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матеріалів для укриття </w:t>
            </w:r>
            <w:r w:rsidR="00C5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(захисту) </w:t>
            </w: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критичної інфраструктури (залізобетонні конструкції, пісок, щебінь, бетон, зварні металеві конструкції, тощо)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2551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персоналу </w:t>
            </w:r>
            <w:r w:rsidR="00AC2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операторів об’єктів критичної інфраструктури засобами індивідуального захисту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1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захи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 життя та здоров’я працівників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68" w:type="dxa"/>
            <w:vAlign w:val="center"/>
          </w:tcPr>
          <w:p w:rsidR="0063122B" w:rsidRPr="009F7184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електрогенераторів, супутніх електротоварів до них (кабелів, перекидних автоматі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(рубильників), АВР, клем, інше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ридбання та встановлення опалювальних систем та генеруючого обладнання яке працює на альтернативних видах палива (твердопаливні котли,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булер’яни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теплові гармати, інше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насосно-компресорного обладнання, фільтрів для очищення води, тощо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551" w:type="dxa"/>
            <w:vAlign w:val="center"/>
          </w:tcPr>
          <w:p w:rsidR="0063122B" w:rsidRPr="009F7184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безперебійного надання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життєдіяльності населенню, належної роботи підприємств та установ громади   </w:t>
            </w:r>
          </w:p>
        </w:tc>
      </w:tr>
    </w:tbl>
    <w:p w:rsidR="00276AD0" w:rsidRPr="004B7073" w:rsidRDefault="00276AD0" w:rsidP="00276AD0">
      <w:pPr>
        <w:rPr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6A24D8" w:rsidRPr="00874C2E" w:rsidTr="00FC637B">
        <w:tc>
          <w:tcPr>
            <w:tcW w:w="560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A24D8" w:rsidRPr="00874C2E" w:rsidTr="00FC637B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D8" w:rsidRPr="00735DAF" w:rsidTr="00FC637B">
        <w:tc>
          <w:tcPr>
            <w:tcW w:w="56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68" w:type="dxa"/>
            <w:vAlign w:val="center"/>
          </w:tcPr>
          <w:p w:rsidR="006A24D8" w:rsidRPr="009F7184" w:rsidRDefault="006A24D8" w:rsidP="006A24D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Будівництво паркінгу подвійного призначення із захисними властивостями захисних споруд цивільного захисту та патологоанатомічного відділення на місці будівлі Н-1 (морг) КНП «Сторожинецька багатопрофільна лікарня інтенсивного лікування» по вул.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Видинівського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22 в  м. Сторожинець Чернівецького району Чернівецької області   </w:t>
            </w:r>
          </w:p>
        </w:tc>
        <w:tc>
          <w:tcPr>
            <w:tcW w:w="2126" w:type="dxa"/>
            <w:vAlign w:val="center"/>
          </w:tcPr>
          <w:p w:rsidR="006A24D8" w:rsidRPr="00735DAF" w:rsidRDefault="006A24D8" w:rsidP="006A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Сторожинецька міська рада, НКП «Сторожинецька БЛІЛ» Сторожинецької міської ради </w:t>
            </w:r>
          </w:p>
        </w:tc>
        <w:tc>
          <w:tcPr>
            <w:tcW w:w="1985" w:type="dxa"/>
            <w:vAlign w:val="center"/>
          </w:tcPr>
          <w:p w:rsidR="006A24D8" w:rsidRPr="00735DAF" w:rsidRDefault="009902BF" w:rsidP="00683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</w:t>
            </w:r>
            <w:r w:rsidR="006A24D8"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708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правильного реагування в кризових ситуаціях</w:t>
            </w:r>
          </w:p>
        </w:tc>
      </w:tr>
      <w:tr w:rsidR="006A24D8" w:rsidRPr="006238FC" w:rsidTr="00FC637B">
        <w:tc>
          <w:tcPr>
            <w:tcW w:w="9039" w:type="dxa"/>
            <w:gridSpan w:val="4"/>
            <w:vAlign w:val="center"/>
          </w:tcPr>
          <w:p w:rsidR="006A24D8" w:rsidRPr="006238FC" w:rsidRDefault="006A24D8" w:rsidP="00FC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66940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57130</w:t>
            </w:r>
          </w:p>
        </w:tc>
        <w:tc>
          <w:tcPr>
            <w:tcW w:w="708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4340</w:t>
            </w:r>
          </w:p>
        </w:tc>
        <w:tc>
          <w:tcPr>
            <w:tcW w:w="25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4C2E" w:rsidRDefault="00874C2E" w:rsidP="00890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74C2E" w:rsidSect="00890D2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A7729" w:rsidRDefault="00A908B4" w:rsidP="004B7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0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Система управління та контролю за ходом </w:t>
      </w:r>
      <w:r w:rsidR="004B7073" w:rsidRPr="004B7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Програми </w:t>
      </w:r>
    </w:p>
    <w:p w:rsidR="008B6DB3" w:rsidRPr="00B52289" w:rsidRDefault="008B6DB3" w:rsidP="008B6DB3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 xml:space="preserve">Військово-облікове бюро Сторожинецької міської ради </w:t>
      </w:r>
      <w:r w:rsidRPr="00B52289">
        <w:rPr>
          <w:lang w:val="uk-UA"/>
        </w:rPr>
        <w:t>є відповідальним за виконання запланованих заходів у Програмі, забезпечує їх реалізацію у повному обсязі і у визначені терміни.</w:t>
      </w:r>
    </w:p>
    <w:p w:rsidR="008B6DB3" w:rsidRPr="00645CED" w:rsidRDefault="008B6DB3" w:rsidP="008B6DB3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8B6DB3" w:rsidRPr="00645CED" w:rsidRDefault="008B6DB3" w:rsidP="008B6DB3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>
        <w:rPr>
          <w:lang w:val="uk-UA"/>
        </w:rPr>
        <w:t>ької ради до 1 березня 2025 – 2027 років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4B7073" w:rsidRDefault="004B7073" w:rsidP="004B7073">
      <w:pPr>
        <w:pStyle w:val="aa"/>
        <w:ind w:firstLine="709"/>
        <w:contextualSpacing/>
        <w:jc w:val="both"/>
      </w:pPr>
    </w:p>
    <w:p w:rsidR="004B7073" w:rsidRDefault="004B7073" w:rsidP="004B7073">
      <w:pPr>
        <w:pStyle w:val="aa"/>
        <w:ind w:firstLine="709"/>
        <w:contextualSpacing/>
        <w:jc w:val="both"/>
      </w:pPr>
    </w:p>
    <w:p w:rsidR="004B7073" w:rsidRPr="00040824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 xml:space="preserve">Інспектор з питань НС та ЦЗ </w:t>
      </w:r>
    </w:p>
    <w:p w:rsidR="004B7073" w:rsidRPr="00040824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 xml:space="preserve">населення і території </w:t>
      </w:r>
    </w:p>
    <w:p w:rsidR="004B7073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>Сторожинець</w:t>
      </w:r>
      <w:r>
        <w:rPr>
          <w:b/>
        </w:rPr>
        <w:t xml:space="preserve">кої міської ради               </w:t>
      </w:r>
      <w:r w:rsidRPr="00040824">
        <w:rPr>
          <w:b/>
        </w:rPr>
        <w:t xml:space="preserve">              </w:t>
      </w:r>
      <w:r>
        <w:rPr>
          <w:b/>
        </w:rPr>
        <w:t xml:space="preserve"> </w:t>
      </w:r>
      <w:r w:rsidRPr="00040824">
        <w:rPr>
          <w:b/>
        </w:rPr>
        <w:t xml:space="preserve">     </w:t>
      </w:r>
      <w:r>
        <w:rPr>
          <w:b/>
        </w:rPr>
        <w:t xml:space="preserve">                   Дмитро МІСИК </w:t>
      </w: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Default="004B7073" w:rsidP="004B7073">
      <w:pPr>
        <w:rPr>
          <w:lang w:val="uk-UA"/>
        </w:rPr>
      </w:pPr>
    </w:p>
    <w:p w:rsidR="00890D23" w:rsidRPr="004B7073" w:rsidRDefault="004B7073" w:rsidP="004B7073">
      <w:pPr>
        <w:tabs>
          <w:tab w:val="left" w:pos="542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sectPr w:rsidR="00890D23" w:rsidRPr="004B7073" w:rsidSect="00A90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1D" w:rsidRDefault="0051011D" w:rsidP="00890D23">
      <w:pPr>
        <w:spacing w:after="0" w:line="240" w:lineRule="auto"/>
      </w:pPr>
      <w:r>
        <w:separator/>
      </w:r>
    </w:p>
  </w:endnote>
  <w:endnote w:type="continuationSeparator" w:id="0">
    <w:p w:rsidR="0051011D" w:rsidRDefault="0051011D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99370"/>
      <w:docPartObj>
        <w:docPartGallery w:val="Page Numbers (Bottom of Page)"/>
        <w:docPartUnique/>
      </w:docPartObj>
    </w:sdtPr>
    <w:sdtEndPr/>
    <w:sdtContent>
      <w:p w:rsidR="00890D23" w:rsidRDefault="00890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D0">
          <w:rPr>
            <w:noProof/>
          </w:rPr>
          <w:t>11</w:t>
        </w:r>
        <w:r>
          <w:fldChar w:fldCharType="end"/>
        </w:r>
      </w:p>
    </w:sdtContent>
  </w:sdt>
  <w:p w:rsidR="00890D23" w:rsidRDefault="00890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1D" w:rsidRDefault="0051011D" w:rsidP="00890D23">
      <w:pPr>
        <w:spacing w:after="0" w:line="240" w:lineRule="auto"/>
      </w:pPr>
      <w:r>
        <w:separator/>
      </w:r>
    </w:p>
  </w:footnote>
  <w:footnote w:type="continuationSeparator" w:id="0">
    <w:p w:rsidR="0051011D" w:rsidRDefault="0051011D" w:rsidP="0089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E4A"/>
    <w:multiLevelType w:val="hybridMultilevel"/>
    <w:tmpl w:val="61C42640"/>
    <w:lvl w:ilvl="0" w:tplc="BD06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17C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3C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88CD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46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6E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666F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F0A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C468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72C1B63"/>
    <w:multiLevelType w:val="hybridMultilevel"/>
    <w:tmpl w:val="0A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036"/>
    <w:multiLevelType w:val="hybridMultilevel"/>
    <w:tmpl w:val="6ED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CA2"/>
    <w:multiLevelType w:val="hybridMultilevel"/>
    <w:tmpl w:val="218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6661"/>
    <w:multiLevelType w:val="hybridMultilevel"/>
    <w:tmpl w:val="A64C4648"/>
    <w:lvl w:ilvl="0" w:tplc="BDDE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C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C3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7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E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C"/>
    <w:rsid w:val="00032DD2"/>
    <w:rsid w:val="000610EB"/>
    <w:rsid w:val="000D3D12"/>
    <w:rsid w:val="000E6883"/>
    <w:rsid w:val="00112F30"/>
    <w:rsid w:val="00142D55"/>
    <w:rsid w:val="00193089"/>
    <w:rsid w:val="001A403D"/>
    <w:rsid w:val="001B70FC"/>
    <w:rsid w:val="00274AB6"/>
    <w:rsid w:val="00276AD0"/>
    <w:rsid w:val="00286D37"/>
    <w:rsid w:val="00296057"/>
    <w:rsid w:val="002F207F"/>
    <w:rsid w:val="00387DFD"/>
    <w:rsid w:val="003D5A1F"/>
    <w:rsid w:val="00487950"/>
    <w:rsid w:val="004A1743"/>
    <w:rsid w:val="004B7073"/>
    <w:rsid w:val="0051011D"/>
    <w:rsid w:val="005262F8"/>
    <w:rsid w:val="005729F7"/>
    <w:rsid w:val="00595678"/>
    <w:rsid w:val="006238FC"/>
    <w:rsid w:val="0063122B"/>
    <w:rsid w:val="00646896"/>
    <w:rsid w:val="00655FE1"/>
    <w:rsid w:val="00680B72"/>
    <w:rsid w:val="006834D0"/>
    <w:rsid w:val="006A24D8"/>
    <w:rsid w:val="006D5E68"/>
    <w:rsid w:val="00701DB7"/>
    <w:rsid w:val="00703D79"/>
    <w:rsid w:val="00735DAF"/>
    <w:rsid w:val="007D189D"/>
    <w:rsid w:val="007F52AF"/>
    <w:rsid w:val="008134CB"/>
    <w:rsid w:val="00854E3C"/>
    <w:rsid w:val="00874C2E"/>
    <w:rsid w:val="00890D23"/>
    <w:rsid w:val="00896920"/>
    <w:rsid w:val="008A6855"/>
    <w:rsid w:val="008B6DB3"/>
    <w:rsid w:val="0091370E"/>
    <w:rsid w:val="00926E0B"/>
    <w:rsid w:val="00962DB6"/>
    <w:rsid w:val="00970927"/>
    <w:rsid w:val="009902BF"/>
    <w:rsid w:val="009B2643"/>
    <w:rsid w:val="009C7E63"/>
    <w:rsid w:val="009F7184"/>
    <w:rsid w:val="00A017B2"/>
    <w:rsid w:val="00A908B4"/>
    <w:rsid w:val="00A917F9"/>
    <w:rsid w:val="00AA7729"/>
    <w:rsid w:val="00AC2668"/>
    <w:rsid w:val="00B3010D"/>
    <w:rsid w:val="00B301B8"/>
    <w:rsid w:val="00B81980"/>
    <w:rsid w:val="00B92775"/>
    <w:rsid w:val="00BD6088"/>
    <w:rsid w:val="00C4781F"/>
    <w:rsid w:val="00C53820"/>
    <w:rsid w:val="00CA3206"/>
    <w:rsid w:val="00D12424"/>
    <w:rsid w:val="00DC171D"/>
    <w:rsid w:val="00E56058"/>
    <w:rsid w:val="00EA240B"/>
    <w:rsid w:val="00EF4C6E"/>
    <w:rsid w:val="00F27FB1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a0"/>
    <w:rsid w:val="00703D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a0"/>
    <w:rsid w:val="00703D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4A75-3AF2-4DCB-98DB-98141E07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10864</Words>
  <Characters>6194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2023-12-11T13:52:00Z</cp:lastPrinted>
  <dcterms:created xsi:type="dcterms:W3CDTF">2023-11-23T13:30:00Z</dcterms:created>
  <dcterms:modified xsi:type="dcterms:W3CDTF">2023-12-12T06:17:00Z</dcterms:modified>
</cp:coreProperties>
</file>