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3D" w:rsidRDefault="001A403D" w:rsidP="001A40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1A403D" w:rsidRDefault="001A403D" w:rsidP="001A40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403D" w:rsidRDefault="001A403D" w:rsidP="001A40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03D" w:rsidRDefault="000E6883" w:rsidP="001A403D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1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4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="001A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</w:t>
      </w:r>
      <w:r w:rsidR="001A403D" w:rsidRPr="00286D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0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331</w:t>
      </w:r>
      <w:bookmarkStart w:id="0" w:name="_GoBack"/>
      <w:bookmarkEnd w:id="0"/>
      <w:r w:rsidR="001A403D" w:rsidRPr="00286D37">
        <w:rPr>
          <w:rFonts w:ascii="Times New Roman" w:eastAsia="Times New Roman" w:hAnsi="Times New Roman" w:cs="Times New Roman"/>
          <w:sz w:val="28"/>
          <w:szCs w:val="28"/>
          <w:lang w:eastAsia="ru-RU"/>
        </w:rPr>
        <w:t>-36</w:t>
      </w:r>
      <w:r w:rsidR="001A403D">
        <w:rPr>
          <w:rFonts w:ascii="Times New Roman" w:eastAsia="Times New Roman" w:hAnsi="Times New Roman" w:cs="Times New Roman"/>
          <w:sz w:val="28"/>
          <w:szCs w:val="28"/>
          <w:lang w:eastAsia="ru-RU"/>
        </w:rPr>
        <w:t>/2023</w:t>
      </w: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71D" w:rsidRPr="00DC171D" w:rsidRDefault="00487950" w:rsidP="00FC13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C171D">
        <w:rPr>
          <w:rFonts w:ascii="Times New Roman" w:hAnsi="Times New Roman" w:cs="Times New Roman"/>
          <w:sz w:val="40"/>
          <w:szCs w:val="40"/>
          <w:lang w:val="uk-UA"/>
        </w:rPr>
        <w:t>ПРОГРАМА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 xml:space="preserve"> ЗАБЕЗПЕЧЕННЯ БЕЗПЕКИ ТА СТІЙКОСТІ КРИТИЧНОЇ ІНФРАСТРУКТУРИ, 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>ПІДВИЩЕННЯ СТІЙКОСТІ СТОРОЖИНЕЦЬКОЇ МІСЬКОЇ ТЕРИТОРІАЛЬНОЇ ГРОМАДИ ДО КРИЗОВИХ СИТУАЦІЙ, ВИКЛИКАНИХ ПРИПИНЕННЯМ НАДАННЯ</w:t>
      </w:r>
      <w:r w:rsidR="00FC1395" w:rsidRPr="00FC139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FC1395" w:rsidRPr="00DC171D">
        <w:rPr>
          <w:rFonts w:ascii="Times New Roman" w:hAnsi="Times New Roman" w:cs="Times New Roman"/>
          <w:sz w:val="40"/>
          <w:szCs w:val="40"/>
          <w:lang w:val="uk-UA"/>
        </w:rPr>
        <w:t>ВАЖЛИВИХ ДЛЯ ЇЇ ЖИТТЄДІЯЛЬНОСТІ ПОСЛУГ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 xml:space="preserve"> (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 xml:space="preserve">ЧИ ПОГІРШЕННЯМ 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 xml:space="preserve">ЇХ 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>ЯКОСТІ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>)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FC1395">
        <w:rPr>
          <w:rFonts w:ascii="Times New Roman" w:hAnsi="Times New Roman" w:cs="Times New Roman"/>
          <w:sz w:val="40"/>
          <w:szCs w:val="40"/>
          <w:lang w:val="uk-UA"/>
        </w:rPr>
        <w:t>АБО ПРИПИНЕННЯ НИМИ</w:t>
      </w:r>
      <w:r w:rsidR="00DC171D" w:rsidRPr="00DC171D">
        <w:rPr>
          <w:rFonts w:ascii="Times New Roman" w:hAnsi="Times New Roman" w:cs="Times New Roman"/>
          <w:sz w:val="40"/>
          <w:szCs w:val="40"/>
          <w:lang w:val="uk-UA"/>
        </w:rPr>
        <w:t xml:space="preserve"> ЗДІЙСНЕННЯ ЖИТТЄВО ВАЖЛИВИХ ФУНКЦІЙ НА 2024-2026 РОКИ </w:t>
      </w:r>
      <w:r w:rsidRPr="00DC171D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71D" w:rsidRDefault="00DC171D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FC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395" w:rsidRDefault="00FC1395" w:rsidP="00FC1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Default="00487950" w:rsidP="004879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Сторожинець, 2023</w:t>
      </w:r>
    </w:p>
    <w:p w:rsidR="00487950" w:rsidRDefault="00487950" w:rsidP="004879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М І С Т</w:t>
      </w:r>
    </w:p>
    <w:p w:rsidR="00487950" w:rsidRDefault="00487950" w:rsidP="004879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883" w:rsidRDefault="00487950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Програми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………………………........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…..….3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487950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A017B2"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 xml:space="preserve"> Програми………………………...........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…………....4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Визначення проблеми на розв’язання якої спрямована Програма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Шляхи і засоби розв</w:t>
      </w:r>
      <w:r w:rsidR="000E6883" w:rsidRPr="000E6883">
        <w:rPr>
          <w:rFonts w:ascii="Times New Roman" w:hAnsi="Times New Roman" w:cs="Times New Roman"/>
          <w:sz w:val="28"/>
          <w:szCs w:val="28"/>
          <w:lang w:val="uk-UA"/>
        </w:rPr>
        <w:t>’язання проблеми на розв’язання якої                спрямована Програма.....................................................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…………………………................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..7</w:t>
      </w:r>
    </w:p>
    <w:p w:rsidR="000E6883" w:rsidRDefault="00A017B2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Напрями діяльності та заходи Програми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…........................................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..8</w:t>
      </w:r>
      <w:r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883" w:rsidRDefault="000E6883" w:rsidP="000E6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950" w:rsidRPr="000E6883" w:rsidRDefault="00A017B2" w:rsidP="000E6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883">
        <w:rPr>
          <w:rFonts w:ascii="Times New Roman" w:hAnsi="Times New Roman" w:cs="Times New Roman"/>
          <w:sz w:val="28"/>
          <w:szCs w:val="28"/>
          <w:lang w:val="uk-UA"/>
        </w:rPr>
        <w:t>Система управляння та контролю за ходом виконання Програми</w:t>
      </w:r>
      <w:r w:rsidR="006D5E68" w:rsidRPr="000E6883">
        <w:rPr>
          <w:rFonts w:ascii="Times New Roman" w:hAnsi="Times New Roman" w:cs="Times New Roman"/>
          <w:sz w:val="28"/>
          <w:szCs w:val="28"/>
          <w:lang w:val="uk-UA"/>
        </w:rPr>
        <w:t>………….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</w:t>
      </w:r>
      <w:r w:rsidR="00680B72">
        <w:rPr>
          <w:rFonts w:ascii="Times New Roman" w:hAnsi="Times New Roman" w:cs="Times New Roman"/>
          <w:sz w:val="28"/>
          <w:szCs w:val="28"/>
          <w:lang w:val="uk-UA"/>
        </w:rPr>
        <w:t>..............................</w:t>
      </w:r>
      <w:r w:rsidR="000E6883">
        <w:rPr>
          <w:rFonts w:ascii="Times New Roman" w:hAnsi="Times New Roman" w:cs="Times New Roman"/>
          <w:sz w:val="28"/>
          <w:szCs w:val="28"/>
          <w:lang w:val="uk-UA"/>
        </w:rPr>
        <w:t>..............</w:t>
      </w:r>
      <w:r w:rsidR="00680B72">
        <w:rPr>
          <w:rFonts w:ascii="Times New Roman" w:hAnsi="Times New Roman" w:cs="Times New Roman"/>
          <w:sz w:val="28"/>
          <w:szCs w:val="28"/>
          <w:lang w:val="uk-UA"/>
        </w:rPr>
        <w:t>…12</w:t>
      </w:r>
      <w:r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950" w:rsidRPr="000E68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017B2" w:rsidRDefault="00A017B2" w:rsidP="000E6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883" w:rsidRDefault="000E6883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7B2" w:rsidRDefault="00A017B2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D23" w:rsidRDefault="00890D23" w:rsidP="00A01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68" w:rsidRDefault="00AC2668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7B2" w:rsidRPr="00A017B2" w:rsidRDefault="00A017B2" w:rsidP="006D5E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Загальна характеристика Програми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A017B2" w:rsidRPr="00DC171D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  <w:vAlign w:val="center"/>
          </w:tcPr>
          <w:p w:rsidR="00A017B2" w:rsidRPr="00342F10" w:rsidRDefault="00DC171D" w:rsidP="00112F30">
            <w:pPr>
              <w:pStyle w:val="a5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Військово-облікове б</w:t>
            </w:r>
            <w:r w:rsidR="000D3D12">
              <w:rPr>
                <w:kern w:val="24"/>
                <w:sz w:val="28"/>
                <w:szCs w:val="28"/>
                <w:lang w:val="uk-UA"/>
              </w:rPr>
              <w:t>юро Сторожинецької міської ради</w:t>
            </w:r>
            <w:r>
              <w:rPr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</w:tr>
      <w:tr w:rsidR="00A017B2" w:rsidRPr="00A017B2" w:rsidTr="00A017B2">
        <w:trPr>
          <w:jc w:val="center"/>
        </w:trPr>
        <w:tc>
          <w:tcPr>
            <w:tcW w:w="4927" w:type="dxa"/>
            <w:vAlign w:val="center"/>
          </w:tcPr>
          <w:p w:rsidR="00A017B2" w:rsidRPr="00A017B2" w:rsidRDefault="00DC171D" w:rsidP="00DC171D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Дата, номер і назва законодавчого</w:t>
            </w:r>
            <w:r w:rsidR="00A017B2" w:rsidRPr="00A017B2">
              <w:rPr>
                <w:kern w:val="24"/>
                <w:sz w:val="28"/>
                <w:szCs w:val="28"/>
                <w:lang w:val="uk-UA"/>
              </w:rPr>
              <w:t xml:space="preserve"> документу про затвердження програми</w:t>
            </w:r>
          </w:p>
        </w:tc>
        <w:tc>
          <w:tcPr>
            <w:tcW w:w="4927" w:type="dxa"/>
            <w:vAlign w:val="center"/>
          </w:tcPr>
          <w:p w:rsidR="00D12424" w:rsidRPr="00A017B2" w:rsidRDefault="000D3D1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Закони України </w:t>
            </w:r>
            <w:r w:rsidRPr="000D3D12">
              <w:rPr>
                <w:kern w:val="24"/>
                <w:sz w:val="28"/>
                <w:szCs w:val="28"/>
                <w:lang w:val="uk-UA"/>
              </w:rPr>
              <w:t>«Про критичну інфраструктуру», «Про місцеве самоврядування в Україні», «Про основи національного спротиву», «Про військовий обов’язок і військову службу», «Про оборону України»</w:t>
            </w:r>
            <w:r>
              <w:rPr>
                <w:kern w:val="24"/>
                <w:sz w:val="28"/>
                <w:szCs w:val="28"/>
                <w:lang w:val="uk-UA"/>
              </w:rPr>
              <w:t>, Указ Президента України від 24.02.2022 року № 64/2022 «Про ведення воєнного стану в Україні» (зі змінами)</w:t>
            </w:r>
          </w:p>
        </w:tc>
      </w:tr>
      <w:tr w:rsidR="00A017B2" w:rsidRPr="00DC171D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0D3D1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A017B2" w:rsidRPr="00DC171D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0D3D1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Військово-облікове бюро Сторожинецької міської ради</w:t>
            </w:r>
          </w:p>
        </w:tc>
      </w:tr>
      <w:tr w:rsidR="00A017B2" w:rsidRPr="00890485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0D3D12" w:rsidP="00112F3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Військово-облікове бюро Сторожинецької міської ради, апарат Сторожинецької міської ради, підприємства, установи та</w:t>
            </w:r>
            <w:r w:rsidRPr="000D3D12">
              <w:rPr>
                <w:kern w:val="24"/>
                <w:sz w:val="28"/>
                <w:szCs w:val="28"/>
                <w:lang w:val="uk-UA"/>
              </w:rPr>
              <w:t xml:space="preserve"> організації усіх форм власності, які забезпечують життєво важливі функції та/або послуги</w:t>
            </w:r>
            <w:r w:rsidR="00112F3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</w:tr>
      <w:tr w:rsidR="00A017B2" w:rsidRPr="00342F10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A017B2" w:rsidRPr="00342F10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112F30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2024, 2025, 2026</w:t>
            </w:r>
            <w:r w:rsidR="00A017B2" w:rsidRPr="00342F10">
              <w:rPr>
                <w:kern w:val="24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A017B2" w:rsidRPr="00342F10" w:rsidTr="00A017B2">
        <w:trPr>
          <w:jc w:val="center"/>
        </w:trPr>
        <w:tc>
          <w:tcPr>
            <w:tcW w:w="4927" w:type="dxa"/>
            <w:vAlign w:val="center"/>
          </w:tcPr>
          <w:p w:rsidR="00A017B2" w:rsidRPr="00342F10" w:rsidRDefault="00A017B2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  <w:vAlign w:val="center"/>
          </w:tcPr>
          <w:p w:rsidR="00A017B2" w:rsidRPr="00342F10" w:rsidRDefault="00112F30" w:rsidP="00A017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Міський Б</w:t>
            </w:r>
            <w:r w:rsidR="00A017B2" w:rsidRPr="00342F10">
              <w:rPr>
                <w:kern w:val="24"/>
                <w:sz w:val="28"/>
                <w:szCs w:val="28"/>
                <w:lang w:val="uk-UA"/>
              </w:rPr>
              <w:t>юджет Сторожинецької територіальної громади</w:t>
            </w:r>
          </w:p>
        </w:tc>
      </w:tr>
      <w:tr w:rsidR="00AC2668" w:rsidRPr="00342F10" w:rsidTr="00A017B2">
        <w:trPr>
          <w:jc w:val="center"/>
        </w:trPr>
        <w:tc>
          <w:tcPr>
            <w:tcW w:w="4927" w:type="dxa"/>
            <w:vAlign w:val="center"/>
          </w:tcPr>
          <w:p w:rsidR="00AC2668" w:rsidRPr="00342F10" w:rsidRDefault="00AC2668" w:rsidP="00AC266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2585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4927" w:type="dxa"/>
            <w:vAlign w:val="center"/>
          </w:tcPr>
          <w:p w:rsidR="00AC2668" w:rsidRPr="00735DAF" w:rsidRDefault="006A24D8" w:rsidP="0019412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6</w:t>
            </w:r>
            <w:r w:rsidR="00AC2668">
              <w:rPr>
                <w:kern w:val="24"/>
                <w:sz w:val="28"/>
                <w:szCs w:val="28"/>
                <w:lang w:val="uk-UA"/>
              </w:rPr>
              <w:t>6 940</w:t>
            </w:r>
            <w:r w:rsidR="00AC2668" w:rsidRPr="00735DAF">
              <w:rPr>
                <w:kern w:val="24"/>
                <w:sz w:val="28"/>
                <w:szCs w:val="28"/>
                <w:lang w:val="uk-UA"/>
              </w:rPr>
              <w:t xml:space="preserve"> тис. грн</w:t>
            </w:r>
            <w:r w:rsidR="00AC2668">
              <w:rPr>
                <w:kern w:val="24"/>
                <w:sz w:val="28"/>
                <w:szCs w:val="28"/>
                <w:lang w:val="uk-UA"/>
              </w:rPr>
              <w:t>.</w:t>
            </w:r>
            <w:r w:rsidR="00AC2668" w:rsidRPr="00735DAF">
              <w:rPr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</w:tr>
      <w:tr w:rsidR="00AC2668" w:rsidRPr="00342F10" w:rsidTr="00A017B2">
        <w:trPr>
          <w:jc w:val="center"/>
        </w:trPr>
        <w:tc>
          <w:tcPr>
            <w:tcW w:w="4927" w:type="dxa"/>
            <w:vAlign w:val="center"/>
          </w:tcPr>
          <w:p w:rsidR="00AC2668" w:rsidRPr="00082585" w:rsidRDefault="00AC2668" w:rsidP="00AC2668">
            <w:pPr>
              <w:pStyle w:val="a5"/>
              <w:spacing w:after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 w:rsidRPr="00082585">
              <w:rPr>
                <w:kern w:val="24"/>
                <w:sz w:val="28"/>
                <w:szCs w:val="28"/>
                <w:lang w:val="uk-UA"/>
              </w:rPr>
              <w:t>Міський Бюджет</w:t>
            </w:r>
          </w:p>
          <w:p w:rsidR="00AC2668" w:rsidRPr="00342F10" w:rsidRDefault="00AC2668" w:rsidP="00AC266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082585">
              <w:rPr>
                <w:kern w:val="24"/>
                <w:sz w:val="28"/>
                <w:szCs w:val="28"/>
                <w:lang w:val="uk-UA"/>
              </w:rPr>
              <w:t>Сторожинецької територіальної громади</w:t>
            </w:r>
          </w:p>
        </w:tc>
        <w:tc>
          <w:tcPr>
            <w:tcW w:w="4927" w:type="dxa"/>
            <w:vAlign w:val="center"/>
          </w:tcPr>
          <w:p w:rsidR="00AC2668" w:rsidRPr="00735DAF" w:rsidRDefault="00B3010D" w:rsidP="0019412A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</w:t>
            </w:r>
            <w:r w:rsidR="00AC2668">
              <w:rPr>
                <w:kern w:val="24"/>
                <w:sz w:val="28"/>
                <w:szCs w:val="28"/>
                <w:lang w:val="uk-UA"/>
              </w:rPr>
              <w:t>6 940</w:t>
            </w:r>
            <w:r w:rsidR="00AC2668" w:rsidRPr="00735DAF">
              <w:rPr>
                <w:kern w:val="24"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B3010D" w:rsidRPr="00B3010D" w:rsidTr="00A017B2">
        <w:trPr>
          <w:jc w:val="center"/>
        </w:trPr>
        <w:tc>
          <w:tcPr>
            <w:tcW w:w="4927" w:type="dxa"/>
            <w:vAlign w:val="center"/>
          </w:tcPr>
          <w:p w:rsidR="00B3010D" w:rsidRPr="00082585" w:rsidRDefault="00B3010D" w:rsidP="00AC2668">
            <w:pPr>
              <w:pStyle w:val="a5"/>
              <w:spacing w:after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Державний Бюджет </w:t>
            </w:r>
          </w:p>
        </w:tc>
        <w:tc>
          <w:tcPr>
            <w:tcW w:w="4927" w:type="dxa"/>
            <w:vAlign w:val="center"/>
          </w:tcPr>
          <w:p w:rsidR="00B3010D" w:rsidRDefault="00B3010D" w:rsidP="0019412A">
            <w:pPr>
              <w:pStyle w:val="a5"/>
              <w:spacing w:before="0" w:beforeAutospacing="0" w:after="0" w:afterAutospacing="0"/>
              <w:contextualSpacing/>
              <w:jc w:val="center"/>
              <w:rPr>
                <w:kern w:val="24"/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50 000 тис. грн. </w:t>
            </w:r>
          </w:p>
        </w:tc>
      </w:tr>
    </w:tbl>
    <w:p w:rsidR="0091370E" w:rsidRDefault="0091370E" w:rsidP="000D3D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</w:p>
    <w:p w:rsidR="000D3D12" w:rsidRDefault="00112F30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12F3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Програма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FC1395" w:rsidRP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забезпечення безпеки та стійкості критичної інфрас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труктури, підвищення стійкості С</w:t>
      </w:r>
      <w:r w:rsidR="00FC1395" w:rsidRP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торожинецької міської територіальної громади до кризових ситуацій, викликаних припиненням надання важливих для її життєдіяльності послуг (чи погіршенням їх якості) або припинення ними здійснення життєво важливих функцій на 2024-2026 роки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(далі – Програма), р</w:t>
      </w:r>
      <w:r w:rsidRPr="00112F3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озроблена відповід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но до </w:t>
      </w:r>
      <w:r w:rsidR="000D3D12" w:rsidRP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Конституції України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Законів України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0D3D12" w:rsidRP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«Про критичну інфраструктуру», «Про місцеве самоврядування в Україні», «Про основи </w:t>
      </w:r>
      <w:r w:rsidR="000D3D12" w:rsidRP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lastRenderedPageBreak/>
        <w:t xml:space="preserve">національного спротиву», «Про військовий обов’язок і військову службу», «Про оборону України», Указ Президента України від 24.02.2022 року 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                               </w:t>
      </w:r>
      <w:r w:rsidR="000D3D12" w:rsidRP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№ 64/2022 «Про ведення воєнного стану в Україні» (зі змінами)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, рішення Ради національної безпеки 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і оборони України від 07.11.2023 року «Щодо додаткових заходів із посилення стійкості економіки до роботи в осінньо-зимовий період 2023 – 2024 року» введеного в дію Указом Президента України від 07.11.2023 року № 737/2023. В Програмі передбачено комплекс заходів 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що будуть здійснюватись</w:t>
      </w:r>
      <w:r w:rsidR="00595678" w:rsidRPr="00112F3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на місцевому рівні з метою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збільшення використання альтернативних джерел енергії та підвищення енергоефективності із забезпеченням відповідного фінансування міською радою. Забезпечення вищенаведених заходів дасть змогу ефективно за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безпечити безпеку із підсиленням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стійкості критичної інфраструктури, яка забезпечує життєдіяльність Сторожинецької міської територіальної громади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з урахуванням дій щодо посилення захисту об’єктів 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критичної інфраструктури від фізичних та </w:t>
      </w:r>
      <w:proofErr w:type="spellStart"/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кібер-загроз</w:t>
      </w:r>
      <w:proofErr w:type="spellEnd"/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 що в свою чергу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підвищить стійкість міської громади 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до кризової ситуації, викликана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припиненням чи погіршенням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якості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надання важливих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для її життєдіяльності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послуг чи здійснення важливих функцій.  </w:t>
      </w:r>
      <w:r w:rsidR="0059567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0D3D1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D12424" w:rsidRDefault="00D12424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</w:p>
    <w:p w:rsidR="00D12424" w:rsidRPr="00701DB7" w:rsidRDefault="00D12424" w:rsidP="0091370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  <w:r w:rsidRPr="00701DB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t>2. Мета та завдання Програми</w:t>
      </w:r>
    </w:p>
    <w:p w:rsidR="00193089" w:rsidRPr="00193089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Метою Програми є реалізація комплексу заходів, спрямованих на забезпечення стійкості, безперервності функціонування об’єктів критичної інфраструктури, надання життєво важлив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их послуг населенню Сторожинецької міської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 на випадок виникнення </w:t>
      </w:r>
      <w:r w:rsidR="00FC139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загроз чи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кризових ситуацій.</w:t>
      </w:r>
    </w:p>
    <w:p w:rsidR="00193089" w:rsidRPr="00193089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Програмою підвищення стійкості 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="005262F8"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 до кризових ситуацій передбачається виконання наступних основних заходів: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193089" w:rsidRPr="00193089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- підвищення стійкості територіальної громади до кризових ситуацій, викликаних припиненням надання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чи погіршенням якості надання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важливих для життєдіяльності послуг або припиненням здійснення життєво важливих функцій;</w:t>
      </w:r>
    </w:p>
    <w:p w:rsidR="00193089" w:rsidRPr="00193089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- вдосконалення організації захисту населення громадян, які проживають на території громади;</w:t>
      </w:r>
    </w:p>
    <w:p w:rsidR="00970927" w:rsidRDefault="00193089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- недопущення припинення або призупинення діяльності об’єктами критичної інфраструктури на території 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="005262F8"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здійснення ними життєво важливих функцій та завдань для забезпечення населення 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="005262F8"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громади.</w:t>
      </w:r>
      <w:r w:rsid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896920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Основними завданнями Програми є: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1) вжиття заходів щодо підвищення стійкості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Сторожинецької міської 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територіальної громади до кризових ситуацій, викликаних припиненням 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lastRenderedPageBreak/>
        <w:t>надання чи погіршенням якості надання важливих для їх життєдіяльності послуг або припиненням здій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снення життєво важливих функцій.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2) забезпечення захисту об’єктів критичної інфраструктури на території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громади,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що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спрямовані на своєчасне виявлення, запобігання і нейтралізацію загроз безпеці об’єктів критичної інфраструктури, а також мінімізацію та ліквідацію 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їх наслідків.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3) організація та проведення захисту національних інтересів 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Сторожинецькою міською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 w:rsidR="008969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радою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щодо забезпечення всім необхідним 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для життя та належного функціонування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громади;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4) забезпечення життєдіяльності населення і функціонування об’єктів критичної інфраструктури у межах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громади;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5) забезпечення населення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 життєво важливими послугами: енергозабезпечення, водопостачання та водовідведення;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970927" w:rsidRPr="0097092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6) забезпечення безперебійного функціонування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для потреб національного спротиву, об’єктів критичної інфраструктури на території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</w:t>
      </w:r>
    </w:p>
    <w:p w:rsidR="00701DB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7) недопущення припинення або п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ризупинення діяльності об’єктів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критичної інфраструктури на території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 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та безперебійне 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здійснення ними життєво важливих функцій та завдань для забезпечення військових та населення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громади.</w:t>
      </w:r>
      <w:r w:rsidR="00193089" w:rsidRPr="0019308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cr/>
      </w:r>
    </w:p>
    <w:p w:rsidR="00701DB7" w:rsidRDefault="00701DB7" w:rsidP="0091370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  <w:r w:rsidRPr="00701DB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t>3. Визначення проблеми на розв’язання якої спрямована Програма</w:t>
      </w:r>
    </w:p>
    <w:p w:rsid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На сьогодні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 умовах воєнного стану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є необхідність забезпечення захисту критичної інфраструктури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території Сторожинецької міської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ради, що є складовою частиною забезпечення національної безпеки України в цілому.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Об’єкти критичної інфраструктур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и, що розташовані  на території громади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  виконують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життєво важливі функції, порушення роботи яких призводить до негативних наслідків для населення. Зокрема, відсутність електропостачання, централізованого водопостачання та централізованого водовідведення, газопостачання,  медичного забезпечення, пасажирських перевезень, тощо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внаслідок порушення роботи об’єктів критичної інфраструктури матиме негативний вплив на життя та здоров’я населен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ня. Тому критична інфраструктура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потребує системного підходу до забезпечення власної безпеки та стійкості.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З метою недопущення кризових ситуацій на території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Сторожинецької міської 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громади, викликаних припиненням надання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чи погіршенням якості надання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важливих для життєдіяльності послуг або припиненням здій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снення життєво важливих функцій;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відновлення 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lastRenderedPageBreak/>
        <w:t xml:space="preserve">функціонування об’єктів критичної інфраструктури,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Сторожинецька міська 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територіальна громада вживає всіх необхідних заходів щодо 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забезпечення 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режиму безперебійного функціонування об’єктів критичної інфраструктури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.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Своєчасне попередження, виявлення, запобігання і нейтралізація загроз безпеки об’єктів критичної інфраструктури, а також мінімізація та вжиття всіх необхідних заходів щодо ліквідації негативних наслідків внаслідок можливих кризових ситуацій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є одним з пріоритетних завдань у діяльності органів місцевого самоврядування, підприємств, установ, організацій (операторів критичної інфраструктури).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У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ідповідності до Закону України «Про критичну інфраструктуру»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захист критичної інфраструктури ґрунтується на засадах: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•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ab/>
        <w:t>визначення необхідності забезпечення захисту та стійкості критичної інфраструктури;</w:t>
      </w:r>
    </w:p>
    <w:p w:rsidR="005262F8" w:rsidRP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•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ab/>
        <w:t>створення умов та впровадження заходів, спрямованих на ефективне зниження і контроль за ризиками безпеки, на зниження ризику реалізації можливих загроз, ліквідацію та/або мінімізацію наслідків реалізованих загроз, кризових ситуацій та інших їх видів;</w:t>
      </w:r>
    </w:p>
    <w:p w:rsidR="005262F8" w:rsidRDefault="005262F8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•</w:t>
      </w:r>
      <w:r w:rsidRPr="005262F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ab/>
        <w:t>створення умов швидкого відновлення, надання життєво важливих функцій та послуг у разі реалізації загроз і порушення функціонування критичної інфраструктури.</w:t>
      </w:r>
    </w:p>
    <w:p w:rsidR="000E6883" w:rsidRDefault="000E6883" w:rsidP="0091370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</w:p>
    <w:p w:rsidR="005729F7" w:rsidRDefault="00387DFD" w:rsidP="0091370E">
      <w:pPr>
        <w:suppressAutoHyphens/>
        <w:spacing w:after="0" w:line="252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t>4. О</w:t>
      </w:r>
      <w:r w:rsidR="00970927" w:rsidRPr="0097092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t>чікувані результативні показники Програми</w:t>
      </w:r>
    </w:p>
    <w:p w:rsidR="005729F7" w:rsidRDefault="00970927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Реалізація Програми дасть можливість підвищити стійкість територіальної громади до кризових ситуацій, викликаних припиненням або погіршенням 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якості </w:t>
      </w:r>
      <w:r w:rsidRPr="0097092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надання важливих для її життєдіяльності послуг чи для здійснення життєво важливих функцій.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В результаті виконання заходів Програми буде забезпечено: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- збереження, захист життєво важливих функцій та/або послуг, що надаються об’єктами критичної і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нфраструктури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 виведення з ладу яких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становлять загрозу для життєдіяльності військових та населення громади;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- належний рівень захисту стратегічних об’єктів та громадян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Сторожинецької міської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територіальної громади від терористичних та інших загроз;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- забезпечення сил оборони та населення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Сторожинецької міської 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територіальної громади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харчовими продуктами</w:t>
      </w:r>
      <w:r w:rsidR="00C5382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через організацію їх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 виробництва;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- забезпечення життєдіяльності населення і функціонування об’єктів інфраструктури у межах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 xml:space="preserve">Сторожинецької міської </w:t>
      </w: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територіальної громади;</w:t>
      </w:r>
    </w:p>
    <w:p w:rsidR="00387DFD" w:rsidRPr="00387DFD" w:rsidRDefault="00387DFD" w:rsidP="0091370E">
      <w:pPr>
        <w:suppressAutoHyphens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387DF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t>- задоволення продовольчих потреб територіальної громади.</w:t>
      </w:r>
    </w:p>
    <w:p w:rsidR="00387DFD" w:rsidRDefault="00387DFD" w:rsidP="00387D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</w:p>
    <w:p w:rsidR="0091370E" w:rsidRDefault="0091370E" w:rsidP="0091370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</w:p>
    <w:p w:rsidR="0091370E" w:rsidRDefault="0091370E" w:rsidP="0091370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</w:p>
    <w:p w:rsidR="005729F7" w:rsidRDefault="005729F7" w:rsidP="005729F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</w:pPr>
      <w:r w:rsidRPr="005729F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zh-CN"/>
        </w:rPr>
        <w:lastRenderedPageBreak/>
        <w:t>5. Ресурсне забезпечення Програми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1134"/>
        <w:gridCol w:w="2091"/>
      </w:tblGrid>
      <w:tr w:rsidR="005729F7" w:rsidRPr="00387DFD" w:rsidTr="00AC2668">
        <w:trPr>
          <w:jc w:val="center"/>
        </w:trPr>
        <w:tc>
          <w:tcPr>
            <w:tcW w:w="3936" w:type="dxa"/>
            <w:vMerge w:val="restart"/>
            <w:vAlign w:val="center"/>
          </w:tcPr>
          <w:p w:rsidR="005729F7" w:rsidRPr="00387DFD" w:rsidRDefault="00C53820" w:rsidP="00AC26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Джерела фінансування                 </w:t>
            </w:r>
          </w:p>
        </w:tc>
        <w:tc>
          <w:tcPr>
            <w:tcW w:w="3827" w:type="dxa"/>
            <w:gridSpan w:val="3"/>
            <w:vAlign w:val="center"/>
          </w:tcPr>
          <w:p w:rsidR="005729F7" w:rsidRPr="00387DFD" w:rsidRDefault="00AC2668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Етапи в</w:t>
            </w:r>
            <w:r w:rsidR="005729F7"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иконання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Програми</w:t>
            </w:r>
            <w:r w:rsidR="005729F7"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1" w:type="dxa"/>
            <w:vMerge w:val="restart"/>
            <w:vAlign w:val="center"/>
          </w:tcPr>
          <w:p w:rsidR="005729F7" w:rsidRPr="00387DFD" w:rsidRDefault="00AC2668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Загальний обсяг фінансування</w:t>
            </w:r>
            <w:r w:rsidR="005729F7"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Програми </w:t>
            </w:r>
          </w:p>
        </w:tc>
      </w:tr>
      <w:tr w:rsidR="00890D23" w:rsidRPr="00387DFD" w:rsidTr="00AC2668">
        <w:trPr>
          <w:cantSplit/>
          <w:trHeight w:val="863"/>
          <w:jc w:val="center"/>
        </w:trPr>
        <w:tc>
          <w:tcPr>
            <w:tcW w:w="3936" w:type="dxa"/>
            <w:vMerge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729F7" w:rsidRPr="00387DFD" w:rsidRDefault="005729F7" w:rsidP="00C53820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276" w:type="dxa"/>
            <w:textDirection w:val="btLr"/>
            <w:vAlign w:val="center"/>
          </w:tcPr>
          <w:p w:rsidR="005729F7" w:rsidRPr="00387DFD" w:rsidRDefault="005729F7" w:rsidP="00C53820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2025 рік </w:t>
            </w:r>
          </w:p>
        </w:tc>
        <w:tc>
          <w:tcPr>
            <w:tcW w:w="1134" w:type="dxa"/>
            <w:textDirection w:val="btLr"/>
            <w:vAlign w:val="center"/>
          </w:tcPr>
          <w:p w:rsidR="005729F7" w:rsidRPr="00387DFD" w:rsidRDefault="005729F7" w:rsidP="00C53820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2026 рік</w:t>
            </w:r>
          </w:p>
        </w:tc>
        <w:tc>
          <w:tcPr>
            <w:tcW w:w="2091" w:type="dxa"/>
            <w:vMerge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90D23" w:rsidRPr="00387DFD" w:rsidTr="00AC2668">
        <w:trPr>
          <w:jc w:val="center"/>
        </w:trPr>
        <w:tc>
          <w:tcPr>
            <w:tcW w:w="3936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91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90D23" w:rsidRPr="00387DFD" w:rsidTr="00AC2668">
        <w:trPr>
          <w:jc w:val="center"/>
        </w:trPr>
        <w:tc>
          <w:tcPr>
            <w:tcW w:w="3936" w:type="dxa"/>
            <w:vAlign w:val="center"/>
          </w:tcPr>
          <w:p w:rsidR="005729F7" w:rsidRPr="00387DFD" w:rsidRDefault="005729F7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</w:t>
            </w:r>
            <w:r w:rsidR="00C538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, які пропонується залучати </w:t>
            </w:r>
          </w:p>
        </w:tc>
        <w:tc>
          <w:tcPr>
            <w:tcW w:w="1417" w:type="dxa"/>
            <w:vAlign w:val="center"/>
          </w:tcPr>
          <w:p w:rsidR="005729F7" w:rsidRPr="00387DFD" w:rsidRDefault="006A24D8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B6D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7 130</w:t>
            </w:r>
          </w:p>
        </w:tc>
        <w:tc>
          <w:tcPr>
            <w:tcW w:w="1276" w:type="dxa"/>
            <w:vAlign w:val="center"/>
          </w:tcPr>
          <w:p w:rsidR="005729F7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5 470</w:t>
            </w:r>
          </w:p>
        </w:tc>
        <w:tc>
          <w:tcPr>
            <w:tcW w:w="1134" w:type="dxa"/>
            <w:vAlign w:val="center"/>
          </w:tcPr>
          <w:p w:rsidR="005729F7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4 340</w:t>
            </w:r>
          </w:p>
        </w:tc>
        <w:tc>
          <w:tcPr>
            <w:tcW w:w="2091" w:type="dxa"/>
            <w:vAlign w:val="center"/>
          </w:tcPr>
          <w:p w:rsidR="005729F7" w:rsidRPr="00387DFD" w:rsidRDefault="006A24D8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8B6D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6 940</w:t>
            </w:r>
          </w:p>
        </w:tc>
      </w:tr>
      <w:tr w:rsidR="00735DAF" w:rsidRPr="00387DFD" w:rsidTr="00AC2668">
        <w:trPr>
          <w:jc w:val="center"/>
        </w:trPr>
        <w:tc>
          <w:tcPr>
            <w:tcW w:w="3936" w:type="dxa"/>
            <w:vAlign w:val="center"/>
          </w:tcPr>
          <w:p w:rsidR="00735DAF" w:rsidRPr="00387DFD" w:rsidRDefault="00735DAF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7D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1417" w:type="dxa"/>
            <w:vAlign w:val="center"/>
          </w:tcPr>
          <w:p w:rsidR="00735DAF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7 130 </w:t>
            </w:r>
          </w:p>
        </w:tc>
        <w:tc>
          <w:tcPr>
            <w:tcW w:w="1276" w:type="dxa"/>
            <w:vAlign w:val="center"/>
          </w:tcPr>
          <w:p w:rsidR="00735DAF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5 470 </w:t>
            </w:r>
          </w:p>
        </w:tc>
        <w:tc>
          <w:tcPr>
            <w:tcW w:w="1134" w:type="dxa"/>
            <w:vAlign w:val="center"/>
          </w:tcPr>
          <w:p w:rsidR="00735DAF" w:rsidRPr="00387DFD" w:rsidRDefault="008B6DB3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4 340 </w:t>
            </w:r>
          </w:p>
        </w:tc>
        <w:tc>
          <w:tcPr>
            <w:tcW w:w="2091" w:type="dxa"/>
            <w:vAlign w:val="center"/>
          </w:tcPr>
          <w:p w:rsidR="00735DAF" w:rsidRPr="00387DFD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8B6DB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6 940</w:t>
            </w:r>
          </w:p>
        </w:tc>
      </w:tr>
      <w:tr w:rsidR="0091370E" w:rsidRPr="00387DFD" w:rsidTr="00AC2668">
        <w:trPr>
          <w:jc w:val="center"/>
        </w:trPr>
        <w:tc>
          <w:tcPr>
            <w:tcW w:w="3936" w:type="dxa"/>
            <w:vAlign w:val="center"/>
          </w:tcPr>
          <w:p w:rsidR="0091370E" w:rsidRPr="00387DFD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Державний Бюджет </w:t>
            </w:r>
          </w:p>
        </w:tc>
        <w:tc>
          <w:tcPr>
            <w:tcW w:w="1417" w:type="dxa"/>
            <w:vAlign w:val="center"/>
          </w:tcPr>
          <w:p w:rsidR="0091370E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1276" w:type="dxa"/>
            <w:vAlign w:val="center"/>
          </w:tcPr>
          <w:p w:rsidR="0091370E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91370E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91" w:type="dxa"/>
            <w:vAlign w:val="center"/>
          </w:tcPr>
          <w:p w:rsidR="0091370E" w:rsidRDefault="0091370E" w:rsidP="00C5382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</w:tbl>
    <w:p w:rsidR="00890D23" w:rsidRDefault="00890D23" w:rsidP="00890D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890D23" w:rsidSect="00E56058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0D23" w:rsidRPr="00A908B4" w:rsidRDefault="00890D23" w:rsidP="009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8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Напрями діяльності та заходи Програми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274AB6" w:rsidRPr="00874C2E" w:rsidTr="00655FE1">
        <w:tc>
          <w:tcPr>
            <w:tcW w:w="560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AA7729" w:rsidRPr="00874C2E" w:rsidRDefault="00AA7729" w:rsidP="00AA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655FE1" w:rsidRPr="00874C2E" w:rsidTr="00655FE1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AA7729" w:rsidRPr="00874C2E" w:rsidRDefault="00AA7729" w:rsidP="00AA77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AA7729" w:rsidRPr="00874C2E" w:rsidRDefault="00AA772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DAF" w:rsidRPr="00735DAF" w:rsidTr="00655FE1">
        <w:tc>
          <w:tcPr>
            <w:tcW w:w="560" w:type="dxa"/>
            <w:vAlign w:val="center"/>
          </w:tcPr>
          <w:p w:rsidR="00874C2E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8" w:type="dxa"/>
            <w:vAlign w:val="center"/>
          </w:tcPr>
          <w:p w:rsidR="00874C2E" w:rsidRPr="009F7184" w:rsidRDefault="00703D79" w:rsidP="00274AB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Навчання персоналу операторів об’єктів критичної інфраструктури щодо порядку реагування на кризові ситуації і розробка організаційних заходів запобігання кризовим ситуаціям на об’єктах критичної інфраструктури</w:t>
            </w:r>
          </w:p>
        </w:tc>
        <w:tc>
          <w:tcPr>
            <w:tcW w:w="2126" w:type="dxa"/>
            <w:vMerge w:val="restart"/>
            <w:vAlign w:val="center"/>
          </w:tcPr>
          <w:p w:rsidR="00874C2E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Сторожинецька міська рада, комунальні установи та підприємства Сторожинецької міської ради</w:t>
            </w:r>
          </w:p>
        </w:tc>
        <w:tc>
          <w:tcPr>
            <w:tcW w:w="1985" w:type="dxa"/>
            <w:vMerge w:val="restart"/>
            <w:vAlign w:val="center"/>
          </w:tcPr>
          <w:p w:rsidR="00874C2E" w:rsidRPr="00735DAF" w:rsidRDefault="00874C2E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874C2E" w:rsidRPr="00735DAF" w:rsidRDefault="0063122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vAlign w:val="center"/>
          </w:tcPr>
          <w:p w:rsidR="00874C2E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874C2E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874C2E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  <w:vAlign w:val="center"/>
          </w:tcPr>
          <w:p w:rsidR="00874C2E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правильного реагування в кризових ситуаціях</w:t>
            </w:r>
          </w:p>
        </w:tc>
      </w:tr>
      <w:tr w:rsidR="00703D79" w:rsidRPr="00735DAF" w:rsidTr="00655FE1">
        <w:tc>
          <w:tcPr>
            <w:tcW w:w="560" w:type="dxa"/>
            <w:vAlign w:val="center"/>
          </w:tcPr>
          <w:p w:rsidR="00703D79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8" w:type="dxa"/>
            <w:vAlign w:val="center"/>
          </w:tcPr>
          <w:p w:rsidR="00703D79" w:rsidRPr="009F7184" w:rsidRDefault="00703D79" w:rsidP="00274AB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Розробка паспортів безпеки об’єктів критичної інфраструктури</w:t>
            </w:r>
          </w:p>
        </w:tc>
        <w:tc>
          <w:tcPr>
            <w:tcW w:w="2126" w:type="dxa"/>
            <w:vMerge/>
            <w:vAlign w:val="center"/>
          </w:tcPr>
          <w:p w:rsidR="00703D79" w:rsidRPr="00735DAF" w:rsidRDefault="00703D7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03D79" w:rsidRPr="00735DAF" w:rsidRDefault="00703D79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03D79" w:rsidRPr="00735DAF" w:rsidRDefault="0063122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851" w:type="dxa"/>
            <w:vAlign w:val="center"/>
          </w:tcPr>
          <w:p w:rsidR="00703D79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vAlign w:val="center"/>
          </w:tcPr>
          <w:p w:rsidR="00703D79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851" w:type="dxa"/>
            <w:vAlign w:val="center"/>
          </w:tcPr>
          <w:p w:rsidR="00703D79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551" w:type="dxa"/>
            <w:vAlign w:val="center"/>
          </w:tcPr>
          <w:p w:rsidR="00703D79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безпеки об’єктів критичної інфраструктури</w:t>
            </w:r>
          </w:p>
        </w:tc>
      </w:tr>
      <w:tr w:rsidR="009F7184" w:rsidRPr="00890485" w:rsidTr="00655FE1">
        <w:tc>
          <w:tcPr>
            <w:tcW w:w="560" w:type="dxa"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68" w:type="dxa"/>
            <w:vAlign w:val="center"/>
          </w:tcPr>
          <w:p w:rsidR="009F7184" w:rsidRPr="009F7184" w:rsidRDefault="009F7184" w:rsidP="00BD608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Забезпечити наявність додаткових місць та ємностей для зберігання паливно-мастильних матеріалів</w:t>
            </w:r>
          </w:p>
        </w:tc>
        <w:tc>
          <w:tcPr>
            <w:tcW w:w="2126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700</w:t>
            </w:r>
          </w:p>
        </w:tc>
        <w:tc>
          <w:tcPr>
            <w:tcW w:w="851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8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851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551" w:type="dxa"/>
            <w:vMerge w:val="restart"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фізичного захисту об’єктів критичної інфраструктури, із створенням матеріальних резервів, вчасного надання послуг для забезпечення важливих функцій  </w:t>
            </w:r>
          </w:p>
        </w:tc>
      </w:tr>
      <w:tr w:rsidR="009F7184" w:rsidRPr="00703D79" w:rsidTr="00655FE1">
        <w:tc>
          <w:tcPr>
            <w:tcW w:w="560" w:type="dxa"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68" w:type="dxa"/>
            <w:vAlign w:val="center"/>
          </w:tcPr>
          <w:p w:rsidR="009F7184" w:rsidRPr="009F7184" w:rsidRDefault="009F7184" w:rsidP="00926E0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Оперативне відновлення об’єктів (придбання резервних матеріалів і обладнання, залучення спеціалізованої техніки та робочої сили, спеціалізованих підприємств, необхідних для відновлення об’єктів критичної інфраструктури), тощо</w:t>
            </w:r>
          </w:p>
        </w:tc>
        <w:tc>
          <w:tcPr>
            <w:tcW w:w="2126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1250</w:t>
            </w:r>
          </w:p>
        </w:tc>
        <w:tc>
          <w:tcPr>
            <w:tcW w:w="851" w:type="dxa"/>
            <w:vAlign w:val="center"/>
          </w:tcPr>
          <w:p w:rsidR="009F7184" w:rsidRPr="00735DAF" w:rsidRDefault="0063122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708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851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551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184" w:rsidRPr="00703D79" w:rsidTr="00655FE1">
        <w:tc>
          <w:tcPr>
            <w:tcW w:w="560" w:type="dxa"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68" w:type="dxa"/>
            <w:vAlign w:val="center"/>
          </w:tcPr>
          <w:p w:rsidR="009F7184" w:rsidRPr="009F7184" w:rsidRDefault="009F7184" w:rsidP="00874C2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Забезпечення системами зберігання енергії, придбання альтернативних джерел електроенергії, паливно-мастильних матеріалів, джерел резервного живлення  для безперебійної роботи пріоритетних об’єктів</w:t>
            </w:r>
            <w:r w:rsidR="0063122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2126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3500</w:t>
            </w:r>
          </w:p>
        </w:tc>
        <w:tc>
          <w:tcPr>
            <w:tcW w:w="851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08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1" w:type="dxa"/>
            <w:vAlign w:val="center"/>
          </w:tcPr>
          <w:p w:rsidR="009F7184" w:rsidRPr="00735DAF" w:rsidRDefault="000610EB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2551" w:type="dxa"/>
            <w:vMerge/>
            <w:vAlign w:val="center"/>
          </w:tcPr>
          <w:p w:rsidR="009F7184" w:rsidRPr="00735DAF" w:rsidRDefault="009F7184" w:rsidP="00890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79" w:rsidRPr="00874C2E" w:rsidTr="00FD3142">
        <w:tc>
          <w:tcPr>
            <w:tcW w:w="560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703D79" w:rsidRPr="00874C2E" w:rsidTr="00FD3142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03D79" w:rsidRPr="00874C2E" w:rsidRDefault="00703D79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703D79" w:rsidRPr="00874C2E" w:rsidRDefault="00703D79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703D79" w:rsidRPr="00874C2E" w:rsidRDefault="00703D79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703D79" w:rsidRPr="00874C2E" w:rsidRDefault="00703D79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703D79" w:rsidRPr="00874C2E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79" w:rsidRPr="009F7184" w:rsidTr="00FD3142">
        <w:tc>
          <w:tcPr>
            <w:tcW w:w="560" w:type="dxa"/>
            <w:vAlign w:val="center"/>
          </w:tcPr>
          <w:p w:rsidR="00703D79" w:rsidRPr="00735DAF" w:rsidRDefault="009F7184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68" w:type="dxa"/>
            <w:vAlign w:val="center"/>
          </w:tcPr>
          <w:p w:rsidR="00703D79" w:rsidRPr="006238FC" w:rsidRDefault="0063122B" w:rsidP="00703D79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Впровадженню заходів запобігання проявам несанкціонованого втручання у функціонування об’єктів критичної інфраструктури (забезпечення кіберзахисту інформаційної системи об’єктів із придбанням спеціального програмного забезпечення, комп’ютерної та іншої техніки, ліцензійних операційних систем, офісного та антивірусного програмного забезпечення, тощо).</w:t>
            </w:r>
          </w:p>
        </w:tc>
        <w:tc>
          <w:tcPr>
            <w:tcW w:w="2126" w:type="dxa"/>
            <w:vMerge w:val="restart"/>
            <w:vAlign w:val="center"/>
          </w:tcPr>
          <w:p w:rsidR="00703D79" w:rsidRPr="00735DAF" w:rsidRDefault="009F7184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Сторожинецька міська рада, комунальні установи та підприємства Сторожинецької міської ради</w:t>
            </w:r>
          </w:p>
        </w:tc>
        <w:tc>
          <w:tcPr>
            <w:tcW w:w="1985" w:type="dxa"/>
            <w:vMerge w:val="restart"/>
            <w:vAlign w:val="center"/>
          </w:tcPr>
          <w:p w:rsidR="00703D79" w:rsidRPr="00735DAF" w:rsidRDefault="00703D79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850" w:type="dxa"/>
            <w:vAlign w:val="center"/>
          </w:tcPr>
          <w:p w:rsidR="00703D79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851" w:type="dxa"/>
            <w:vAlign w:val="center"/>
          </w:tcPr>
          <w:p w:rsidR="00703D79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08" w:type="dxa"/>
            <w:vAlign w:val="center"/>
          </w:tcPr>
          <w:p w:rsidR="00703D79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851" w:type="dxa"/>
            <w:vAlign w:val="center"/>
          </w:tcPr>
          <w:p w:rsidR="00703D79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2551" w:type="dxa"/>
            <w:vAlign w:val="center"/>
          </w:tcPr>
          <w:p w:rsidR="00703D79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кіберзахисту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критичної інфраструктури</w:t>
            </w:r>
          </w:p>
        </w:tc>
      </w:tr>
      <w:tr w:rsidR="0063122B" w:rsidRPr="00890485" w:rsidTr="00FD3142">
        <w:tc>
          <w:tcPr>
            <w:tcW w:w="560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68" w:type="dxa"/>
            <w:vAlign w:val="center"/>
          </w:tcPr>
          <w:p w:rsidR="0063122B" w:rsidRPr="006238FC" w:rsidRDefault="0063122B" w:rsidP="00FD314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Придбання матеріалів та обладнання для охорони об'єктів критичної інфраструктури та об’єктів, що забезпечують життєдіяльність міської громади(придбання та влаштування системи відеоспостереження, залучення спеціалізованої техніки та робочої сили, спеціалізованих підприємств тощо)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551" w:type="dxa"/>
            <w:vMerge w:val="restart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фізичного захисту об’єктів критичної інфраструктури, із створенням матеріальних резервів, вчасного надання послуг для забезпечення важливих функцій  </w:t>
            </w:r>
          </w:p>
        </w:tc>
      </w:tr>
      <w:tr w:rsidR="0063122B" w:rsidRPr="006238FC" w:rsidTr="00FD3142">
        <w:tc>
          <w:tcPr>
            <w:tcW w:w="560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68" w:type="dxa"/>
            <w:vAlign w:val="center"/>
          </w:tcPr>
          <w:p w:rsidR="0063122B" w:rsidRPr="006238FC" w:rsidRDefault="0063122B" w:rsidP="00FD314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Придбання матеріалів та обладнання для проведення невідкладних аварійно-рятувальних робіт (труби різних діаметрів, засувки, муфти, крани, електроди, інструменти, мотопомпи, шанцевий інструмент, спеціальне обладнання та інше)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2551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8FC" w:rsidRPr="00874C2E" w:rsidTr="00FD3142">
        <w:tc>
          <w:tcPr>
            <w:tcW w:w="560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6238FC" w:rsidRPr="00874C2E" w:rsidTr="00FD3142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8FC" w:rsidRPr="00874C2E" w:rsidRDefault="006238FC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6238FC" w:rsidRPr="00874C2E" w:rsidRDefault="006238FC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6238FC" w:rsidRPr="00874C2E" w:rsidRDefault="006238FC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6238FC" w:rsidRPr="00874C2E" w:rsidRDefault="006238FC" w:rsidP="00FD3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6238FC" w:rsidRPr="00874C2E" w:rsidRDefault="006238FC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22B" w:rsidRPr="00735DAF" w:rsidTr="00FD3142">
        <w:tc>
          <w:tcPr>
            <w:tcW w:w="560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68" w:type="dxa"/>
            <w:vAlign w:val="center"/>
          </w:tcPr>
          <w:p w:rsidR="0063122B" w:rsidRPr="00735DAF" w:rsidRDefault="0063122B" w:rsidP="00623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з проведення інженерно-технічних заходів щодо прикриття об’єктів критичної інфрастру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ктури</w:t>
            </w:r>
          </w:p>
        </w:tc>
        <w:tc>
          <w:tcPr>
            <w:tcW w:w="2126" w:type="dxa"/>
            <w:vMerge w:val="restart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Сторожинецька міська рада, комунальні установи та підприємства Сторожинецької міської ради</w:t>
            </w:r>
          </w:p>
        </w:tc>
        <w:tc>
          <w:tcPr>
            <w:tcW w:w="1985" w:type="dxa"/>
            <w:vMerge w:val="restart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Бюджет Сторожинецької територіальної громади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551" w:type="dxa"/>
            <w:vMerge w:val="restart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безперебійного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створення резерву для ремонту об’єктів та їх елементів</w:t>
            </w:r>
          </w:p>
        </w:tc>
      </w:tr>
      <w:tr w:rsidR="0063122B" w:rsidRPr="006238FC" w:rsidTr="00FD3142">
        <w:tc>
          <w:tcPr>
            <w:tcW w:w="560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68" w:type="dxa"/>
            <w:vAlign w:val="center"/>
          </w:tcPr>
          <w:p w:rsidR="0063122B" w:rsidRPr="00703D79" w:rsidRDefault="0063122B" w:rsidP="00FD3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матеріалів для укриття </w:t>
            </w:r>
            <w:r w:rsidR="00C5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(захисту) </w:t>
            </w:r>
            <w:r w:rsidRPr="00623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критичної інфраструктури (залізобетонні конструкції, пісок, щебінь, бетон, зварні металеві конструкції, тощо)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2550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  <w:tc>
          <w:tcPr>
            <w:tcW w:w="2551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122B" w:rsidRPr="006238FC" w:rsidTr="00FD3142">
        <w:tc>
          <w:tcPr>
            <w:tcW w:w="560" w:type="dxa"/>
            <w:vAlign w:val="center"/>
          </w:tcPr>
          <w:p w:rsidR="0063122B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68" w:type="dxa"/>
            <w:vAlign w:val="center"/>
          </w:tcPr>
          <w:p w:rsidR="0063122B" w:rsidRPr="006238FC" w:rsidRDefault="0063122B" w:rsidP="00FD3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персоналу </w:t>
            </w:r>
            <w:r w:rsidR="00AC2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операторів об’єктів критичної інфраструктури засобами індивідуального захисту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1" w:type="dxa"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захи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 життя та здоров’я працівників</w:t>
            </w:r>
          </w:p>
        </w:tc>
      </w:tr>
      <w:tr w:rsidR="0063122B" w:rsidRPr="006238FC" w:rsidTr="00FD3142">
        <w:tc>
          <w:tcPr>
            <w:tcW w:w="560" w:type="dxa"/>
            <w:vAlign w:val="center"/>
          </w:tcPr>
          <w:p w:rsidR="0063122B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68" w:type="dxa"/>
            <w:vAlign w:val="center"/>
          </w:tcPr>
          <w:p w:rsidR="0063122B" w:rsidRPr="009F7184" w:rsidRDefault="0063122B" w:rsidP="00FD3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електрогенераторів, супутніх електротоварів до них (кабелів, перекидних автоматі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(рубильників), АВР, клем, інше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ридбання та встановлення опалювальних систем та генеруючого обладнання яке працює на альтернативних видах палива (твердопаливні котли,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булер’яни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теплові гармати, інше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6312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 насосно-компресорного обладнання, фільтрів для очищення води, тощо</w:t>
            </w:r>
          </w:p>
        </w:tc>
        <w:tc>
          <w:tcPr>
            <w:tcW w:w="2126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3122B" w:rsidRPr="00735DAF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708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851" w:type="dxa"/>
            <w:vAlign w:val="center"/>
          </w:tcPr>
          <w:p w:rsidR="0063122B" w:rsidRPr="00735DAF" w:rsidRDefault="000610E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551" w:type="dxa"/>
            <w:vAlign w:val="center"/>
          </w:tcPr>
          <w:p w:rsidR="0063122B" w:rsidRPr="009F7184" w:rsidRDefault="0063122B" w:rsidP="00FD3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безперебійного надання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</w:t>
            </w: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життєдіяльності населенню, належної роботи підприємств та установ громади   </w:t>
            </w:r>
          </w:p>
        </w:tc>
      </w:tr>
    </w:tbl>
    <w:p w:rsidR="00276AD0" w:rsidRPr="004B7073" w:rsidRDefault="00276AD0" w:rsidP="00276AD0">
      <w:pPr>
        <w:rPr>
          <w:lang w:val="uk-UA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2126"/>
        <w:gridCol w:w="1985"/>
        <w:gridCol w:w="850"/>
        <w:gridCol w:w="851"/>
        <w:gridCol w:w="708"/>
        <w:gridCol w:w="851"/>
        <w:gridCol w:w="2551"/>
      </w:tblGrid>
      <w:tr w:rsidR="006A24D8" w:rsidRPr="00874C2E" w:rsidTr="00FC637B">
        <w:tc>
          <w:tcPr>
            <w:tcW w:w="560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</w:t>
            </w:r>
            <w:proofErr w:type="spellStart"/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368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напряму діяльності, заходи  </w:t>
            </w:r>
          </w:p>
        </w:tc>
        <w:tc>
          <w:tcPr>
            <w:tcW w:w="2126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985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Прогнозовані витрати на реалізацію </w:t>
            </w:r>
            <w:r w:rsidRPr="00EF4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551" w:type="dxa"/>
            <w:vMerge w:val="restart"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6A24D8" w:rsidRPr="00874C2E" w:rsidTr="00FC637B">
        <w:trPr>
          <w:cantSplit/>
          <w:trHeight w:val="1354"/>
        </w:trPr>
        <w:tc>
          <w:tcPr>
            <w:tcW w:w="560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8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A24D8" w:rsidRPr="00874C2E" w:rsidRDefault="006A24D8" w:rsidP="00FC6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851" w:type="dxa"/>
            <w:textDirection w:val="btLr"/>
            <w:vAlign w:val="center"/>
          </w:tcPr>
          <w:p w:rsidR="006A24D8" w:rsidRPr="00874C2E" w:rsidRDefault="006A24D8" w:rsidP="00FC6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708" w:type="dxa"/>
            <w:textDirection w:val="btLr"/>
            <w:vAlign w:val="center"/>
          </w:tcPr>
          <w:p w:rsidR="006A24D8" w:rsidRPr="00874C2E" w:rsidRDefault="006A24D8" w:rsidP="00FC6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51" w:type="dxa"/>
            <w:textDirection w:val="btLr"/>
            <w:vAlign w:val="center"/>
          </w:tcPr>
          <w:p w:rsidR="006A24D8" w:rsidRPr="00874C2E" w:rsidRDefault="006A24D8" w:rsidP="00FC63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4C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2026 рік </w:t>
            </w:r>
          </w:p>
        </w:tc>
        <w:tc>
          <w:tcPr>
            <w:tcW w:w="2551" w:type="dxa"/>
            <w:vMerge/>
            <w:vAlign w:val="center"/>
          </w:tcPr>
          <w:p w:rsidR="006A24D8" w:rsidRPr="00874C2E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4D8" w:rsidRPr="00735DAF" w:rsidTr="00FC637B">
        <w:tc>
          <w:tcPr>
            <w:tcW w:w="560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68" w:type="dxa"/>
            <w:vAlign w:val="center"/>
          </w:tcPr>
          <w:p w:rsidR="006A24D8" w:rsidRPr="009F7184" w:rsidRDefault="006A24D8" w:rsidP="006A24D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Будівництво паркінгу подвійного призначення із захисними властивостями захисних споруд цивільного захисту та патологоанатомічного відділення на місці будівлі Н-1 (морг) КНП «Сторожинецька багатопрофільна лікарня інтенсивного лікування» по вул.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Видинівського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22 в  м. Сторожинець Чернівецького району Чернівецької області   </w:t>
            </w:r>
          </w:p>
        </w:tc>
        <w:tc>
          <w:tcPr>
            <w:tcW w:w="2126" w:type="dxa"/>
            <w:vAlign w:val="center"/>
          </w:tcPr>
          <w:p w:rsidR="006A24D8" w:rsidRPr="00735DAF" w:rsidRDefault="006A24D8" w:rsidP="006A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Сторожинецька міська рада, НКП «Сторожинецька БЛІЛ» Сторожинецької міської ради </w:t>
            </w:r>
          </w:p>
        </w:tc>
        <w:tc>
          <w:tcPr>
            <w:tcW w:w="1985" w:type="dxa"/>
            <w:vAlign w:val="center"/>
          </w:tcPr>
          <w:p w:rsidR="006A24D8" w:rsidRPr="00735DAF" w:rsidRDefault="009902BF" w:rsidP="00683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</w:t>
            </w:r>
            <w:r w:rsidR="006A24D8" w:rsidRPr="0073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850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8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708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правильного реагування в кризових ситуаціях</w:t>
            </w:r>
          </w:p>
        </w:tc>
      </w:tr>
      <w:tr w:rsidR="006A24D8" w:rsidRPr="006238FC" w:rsidTr="00FC637B">
        <w:tc>
          <w:tcPr>
            <w:tcW w:w="9039" w:type="dxa"/>
            <w:gridSpan w:val="4"/>
            <w:vAlign w:val="center"/>
          </w:tcPr>
          <w:p w:rsidR="006A24D8" w:rsidRPr="006238FC" w:rsidRDefault="006A24D8" w:rsidP="00FC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0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66940</w:t>
            </w:r>
          </w:p>
        </w:tc>
        <w:tc>
          <w:tcPr>
            <w:tcW w:w="8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57130</w:t>
            </w:r>
          </w:p>
        </w:tc>
        <w:tc>
          <w:tcPr>
            <w:tcW w:w="708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5470</w:t>
            </w:r>
          </w:p>
        </w:tc>
        <w:tc>
          <w:tcPr>
            <w:tcW w:w="8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4340</w:t>
            </w:r>
          </w:p>
        </w:tc>
        <w:tc>
          <w:tcPr>
            <w:tcW w:w="2551" w:type="dxa"/>
            <w:vAlign w:val="center"/>
          </w:tcPr>
          <w:p w:rsidR="006A24D8" w:rsidRPr="00735DAF" w:rsidRDefault="006A24D8" w:rsidP="00FC6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4C2E" w:rsidRDefault="00874C2E" w:rsidP="00890D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874C2E" w:rsidSect="00890D2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A7729" w:rsidRDefault="00A908B4" w:rsidP="004B7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0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 Система управління та контролю за ходом </w:t>
      </w:r>
      <w:r w:rsidR="004B7073" w:rsidRPr="004B70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Програми </w:t>
      </w:r>
    </w:p>
    <w:p w:rsidR="008B6DB3" w:rsidRPr="00B52289" w:rsidRDefault="008B6DB3" w:rsidP="008B6DB3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>
        <w:rPr>
          <w:lang w:val="uk-UA"/>
        </w:rPr>
        <w:t xml:space="preserve">Військово-облікове бюро Сторожинецької міської ради </w:t>
      </w:r>
      <w:r w:rsidRPr="00B52289">
        <w:rPr>
          <w:lang w:val="uk-UA"/>
        </w:rPr>
        <w:t>є відповідальним за виконання запланованих заходів у Програмі, забезпечує їх реалізацію у повному обсязі і у визначені терміни.</w:t>
      </w:r>
    </w:p>
    <w:p w:rsidR="008B6DB3" w:rsidRPr="00645CED" w:rsidRDefault="008B6DB3" w:rsidP="008B6DB3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>
        <w:rPr>
          <w:lang w:val="uk-UA"/>
        </w:rPr>
        <w:t>я</w:t>
      </w:r>
      <w:r w:rsidRPr="00645CED">
        <w:rPr>
          <w:lang w:val="uk-UA"/>
        </w:rPr>
        <w:t>.</w:t>
      </w:r>
    </w:p>
    <w:p w:rsidR="008B6DB3" w:rsidRPr="00645CED" w:rsidRDefault="008B6DB3" w:rsidP="008B6DB3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</w:t>
      </w:r>
      <w:r>
        <w:rPr>
          <w:lang w:val="uk-UA"/>
        </w:rPr>
        <w:t>ької ради до 1 березня 2025 – 2027 років</w:t>
      </w:r>
      <w:r w:rsidRPr="00645CED">
        <w:rPr>
          <w:lang w:val="uk-UA"/>
        </w:rPr>
        <w:t xml:space="preserve"> узагальнює, аналізує та подає інформацію пр</w:t>
      </w:r>
      <w:r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4B7073" w:rsidRDefault="004B7073" w:rsidP="004B7073">
      <w:pPr>
        <w:pStyle w:val="aa"/>
        <w:ind w:firstLine="709"/>
        <w:contextualSpacing/>
        <w:jc w:val="both"/>
      </w:pPr>
    </w:p>
    <w:p w:rsidR="004B7073" w:rsidRDefault="004B7073" w:rsidP="004B7073">
      <w:pPr>
        <w:pStyle w:val="aa"/>
        <w:ind w:firstLine="709"/>
        <w:contextualSpacing/>
        <w:jc w:val="both"/>
      </w:pPr>
    </w:p>
    <w:p w:rsidR="004B7073" w:rsidRPr="00040824" w:rsidRDefault="004B7073" w:rsidP="004B7073">
      <w:pPr>
        <w:pStyle w:val="aa"/>
        <w:contextualSpacing/>
        <w:jc w:val="both"/>
        <w:rPr>
          <w:b/>
        </w:rPr>
      </w:pPr>
      <w:r w:rsidRPr="00040824">
        <w:rPr>
          <w:b/>
        </w:rPr>
        <w:t xml:space="preserve">Інспектор з питань НС та ЦЗ </w:t>
      </w:r>
    </w:p>
    <w:p w:rsidR="004B7073" w:rsidRPr="00040824" w:rsidRDefault="004B7073" w:rsidP="004B7073">
      <w:pPr>
        <w:pStyle w:val="aa"/>
        <w:contextualSpacing/>
        <w:jc w:val="both"/>
        <w:rPr>
          <w:b/>
        </w:rPr>
      </w:pPr>
      <w:r w:rsidRPr="00040824">
        <w:rPr>
          <w:b/>
        </w:rPr>
        <w:t xml:space="preserve">населення і території </w:t>
      </w:r>
    </w:p>
    <w:p w:rsidR="004B7073" w:rsidRDefault="004B7073" w:rsidP="004B7073">
      <w:pPr>
        <w:pStyle w:val="aa"/>
        <w:contextualSpacing/>
        <w:jc w:val="both"/>
        <w:rPr>
          <w:b/>
        </w:rPr>
      </w:pPr>
      <w:r w:rsidRPr="00040824">
        <w:rPr>
          <w:b/>
        </w:rPr>
        <w:t>Сторожинець</w:t>
      </w:r>
      <w:r>
        <w:rPr>
          <w:b/>
        </w:rPr>
        <w:t xml:space="preserve">кої міської ради               </w:t>
      </w:r>
      <w:r w:rsidRPr="00040824">
        <w:rPr>
          <w:b/>
        </w:rPr>
        <w:t xml:space="preserve">              </w:t>
      </w:r>
      <w:r>
        <w:rPr>
          <w:b/>
        </w:rPr>
        <w:t xml:space="preserve"> </w:t>
      </w:r>
      <w:r w:rsidRPr="00040824">
        <w:rPr>
          <w:b/>
        </w:rPr>
        <w:t xml:space="preserve">     </w:t>
      </w:r>
      <w:r>
        <w:rPr>
          <w:b/>
        </w:rPr>
        <w:t xml:space="preserve">                   Дмитро МІСИК </w:t>
      </w:r>
    </w:p>
    <w:p w:rsidR="004B7073" w:rsidRPr="004B7073" w:rsidRDefault="004B7073" w:rsidP="004B7073">
      <w:pPr>
        <w:rPr>
          <w:lang w:val="uk-UA"/>
        </w:rPr>
      </w:pPr>
    </w:p>
    <w:p w:rsidR="004B7073" w:rsidRPr="004B7073" w:rsidRDefault="004B7073" w:rsidP="004B7073">
      <w:pPr>
        <w:rPr>
          <w:lang w:val="uk-UA"/>
        </w:rPr>
      </w:pPr>
    </w:p>
    <w:p w:rsidR="004B7073" w:rsidRPr="004B7073" w:rsidRDefault="004B7073" w:rsidP="004B7073">
      <w:pPr>
        <w:rPr>
          <w:lang w:val="uk-UA"/>
        </w:rPr>
      </w:pPr>
    </w:p>
    <w:p w:rsidR="004B7073" w:rsidRPr="004B7073" w:rsidRDefault="004B7073" w:rsidP="004B7073">
      <w:pPr>
        <w:rPr>
          <w:lang w:val="uk-UA"/>
        </w:rPr>
      </w:pPr>
    </w:p>
    <w:p w:rsidR="004B7073" w:rsidRDefault="004B7073" w:rsidP="004B7073">
      <w:pPr>
        <w:rPr>
          <w:lang w:val="uk-UA"/>
        </w:rPr>
      </w:pPr>
    </w:p>
    <w:p w:rsidR="00890D23" w:rsidRPr="004B7073" w:rsidRDefault="004B7073" w:rsidP="004B7073">
      <w:pPr>
        <w:tabs>
          <w:tab w:val="left" w:pos="542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</w:p>
    <w:sectPr w:rsidR="00890D23" w:rsidRPr="004B7073" w:rsidSect="00A90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C2" w:rsidRDefault="00ED22C2" w:rsidP="00890D23">
      <w:pPr>
        <w:spacing w:after="0" w:line="240" w:lineRule="auto"/>
      </w:pPr>
      <w:r>
        <w:separator/>
      </w:r>
    </w:p>
  </w:endnote>
  <w:endnote w:type="continuationSeparator" w:id="0">
    <w:p w:rsidR="00ED22C2" w:rsidRDefault="00ED22C2" w:rsidP="0089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299370"/>
      <w:docPartObj>
        <w:docPartGallery w:val="Page Numbers (Bottom of Page)"/>
        <w:docPartUnique/>
      </w:docPartObj>
    </w:sdtPr>
    <w:sdtEndPr/>
    <w:sdtContent>
      <w:p w:rsidR="00890D23" w:rsidRDefault="00890D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85">
          <w:rPr>
            <w:noProof/>
          </w:rPr>
          <w:t>12</w:t>
        </w:r>
        <w:r>
          <w:fldChar w:fldCharType="end"/>
        </w:r>
      </w:p>
    </w:sdtContent>
  </w:sdt>
  <w:p w:rsidR="00890D23" w:rsidRDefault="00890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C2" w:rsidRDefault="00ED22C2" w:rsidP="00890D23">
      <w:pPr>
        <w:spacing w:after="0" w:line="240" w:lineRule="auto"/>
      </w:pPr>
      <w:r>
        <w:separator/>
      </w:r>
    </w:p>
  </w:footnote>
  <w:footnote w:type="continuationSeparator" w:id="0">
    <w:p w:rsidR="00ED22C2" w:rsidRDefault="00ED22C2" w:rsidP="0089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E4A"/>
    <w:multiLevelType w:val="hybridMultilevel"/>
    <w:tmpl w:val="61C42640"/>
    <w:lvl w:ilvl="0" w:tplc="BD063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17C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3C2A8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88CD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8466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806E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666F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F0AB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C4681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72C1B63"/>
    <w:multiLevelType w:val="hybridMultilevel"/>
    <w:tmpl w:val="0A4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036"/>
    <w:multiLevelType w:val="hybridMultilevel"/>
    <w:tmpl w:val="6ED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CA2"/>
    <w:multiLevelType w:val="hybridMultilevel"/>
    <w:tmpl w:val="2184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26661"/>
    <w:multiLevelType w:val="hybridMultilevel"/>
    <w:tmpl w:val="A64C4648"/>
    <w:lvl w:ilvl="0" w:tplc="BDDE8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4CF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C3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8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2D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C7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CE7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E5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E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C"/>
    <w:rsid w:val="00032DD2"/>
    <w:rsid w:val="000610EB"/>
    <w:rsid w:val="000D3D12"/>
    <w:rsid w:val="000E6883"/>
    <w:rsid w:val="00112F30"/>
    <w:rsid w:val="00142D55"/>
    <w:rsid w:val="00193089"/>
    <w:rsid w:val="001A403D"/>
    <w:rsid w:val="001B70FC"/>
    <w:rsid w:val="00274AB6"/>
    <w:rsid w:val="00276AD0"/>
    <w:rsid w:val="00286D37"/>
    <w:rsid w:val="00296057"/>
    <w:rsid w:val="002F207F"/>
    <w:rsid w:val="00387DFD"/>
    <w:rsid w:val="003D5A1F"/>
    <w:rsid w:val="00487950"/>
    <w:rsid w:val="004A1743"/>
    <w:rsid w:val="004B7073"/>
    <w:rsid w:val="0051011D"/>
    <w:rsid w:val="005262F8"/>
    <w:rsid w:val="005729F7"/>
    <w:rsid w:val="00595678"/>
    <w:rsid w:val="006238FC"/>
    <w:rsid w:val="0063122B"/>
    <w:rsid w:val="00646896"/>
    <w:rsid w:val="00655FE1"/>
    <w:rsid w:val="00680B72"/>
    <w:rsid w:val="006834D0"/>
    <w:rsid w:val="006A24D8"/>
    <w:rsid w:val="006D5E68"/>
    <w:rsid w:val="00701DB7"/>
    <w:rsid w:val="00703D79"/>
    <w:rsid w:val="00735DAF"/>
    <w:rsid w:val="007D189D"/>
    <w:rsid w:val="007F52AF"/>
    <w:rsid w:val="008134CB"/>
    <w:rsid w:val="00854E3C"/>
    <w:rsid w:val="00874C2E"/>
    <w:rsid w:val="00890485"/>
    <w:rsid w:val="00890D23"/>
    <w:rsid w:val="00896920"/>
    <w:rsid w:val="008A6855"/>
    <w:rsid w:val="008B6DB3"/>
    <w:rsid w:val="0091370E"/>
    <w:rsid w:val="00926E0B"/>
    <w:rsid w:val="00962DB6"/>
    <w:rsid w:val="00970927"/>
    <w:rsid w:val="009902BF"/>
    <w:rsid w:val="009B2643"/>
    <w:rsid w:val="009C7E63"/>
    <w:rsid w:val="009F7184"/>
    <w:rsid w:val="00A017B2"/>
    <w:rsid w:val="00A908B4"/>
    <w:rsid w:val="00A917F9"/>
    <w:rsid w:val="00AA7729"/>
    <w:rsid w:val="00AC2668"/>
    <w:rsid w:val="00B3010D"/>
    <w:rsid w:val="00B301B8"/>
    <w:rsid w:val="00B81980"/>
    <w:rsid w:val="00B92775"/>
    <w:rsid w:val="00BD6088"/>
    <w:rsid w:val="00C4781F"/>
    <w:rsid w:val="00C53820"/>
    <w:rsid w:val="00CA3206"/>
    <w:rsid w:val="00D12424"/>
    <w:rsid w:val="00DC171D"/>
    <w:rsid w:val="00E56058"/>
    <w:rsid w:val="00EA240B"/>
    <w:rsid w:val="00ED22C2"/>
    <w:rsid w:val="00EF4C6E"/>
    <w:rsid w:val="00F27FB1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a0"/>
    <w:rsid w:val="00703D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50"/>
    <w:pPr>
      <w:ind w:left="720"/>
      <w:contextualSpacing/>
    </w:pPr>
  </w:style>
  <w:style w:type="table" w:styleId="a4">
    <w:name w:val="Table Grid"/>
    <w:basedOn w:val="a1"/>
    <w:uiPriority w:val="59"/>
    <w:rsid w:val="00A0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A0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3"/>
  </w:style>
  <w:style w:type="paragraph" w:styleId="a8">
    <w:name w:val="footer"/>
    <w:basedOn w:val="a"/>
    <w:link w:val="a9"/>
    <w:uiPriority w:val="99"/>
    <w:unhideWhenUsed/>
    <w:rsid w:val="0089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3"/>
  </w:style>
  <w:style w:type="paragraph" w:styleId="aa">
    <w:name w:val="Body Text"/>
    <w:basedOn w:val="a"/>
    <w:link w:val="ab"/>
    <w:uiPriority w:val="1"/>
    <w:qFormat/>
    <w:rsid w:val="004B7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4B70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link w:val="20"/>
    <w:locked/>
    <w:rsid w:val="004B70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073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6E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a0"/>
    <w:rsid w:val="00703D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B6CF-347F-49BF-A6FC-CEFB2408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12</Pages>
  <Words>10864</Words>
  <Characters>6193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2023-12-11T13:52:00Z</cp:lastPrinted>
  <dcterms:created xsi:type="dcterms:W3CDTF">2023-11-23T13:30:00Z</dcterms:created>
  <dcterms:modified xsi:type="dcterms:W3CDTF">2023-12-13T14:04:00Z</dcterms:modified>
</cp:coreProperties>
</file>