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3B" w:rsidRDefault="00217A3B" w:rsidP="00D426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</w:p>
    <w:p w:rsidR="00217A3B" w:rsidRPr="00D4686B" w:rsidRDefault="00217A3B" w:rsidP="00217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68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Пам’ятка</w:t>
      </w:r>
    </w:p>
    <w:p w:rsidR="00217A3B" w:rsidRDefault="00217A3B" w:rsidP="00217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Вимоги чинного законодавства </w:t>
      </w:r>
      <w:r w:rsidR="00C164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зберіганн</w:t>
      </w:r>
      <w:r w:rsidR="00C164B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пестицидів і </w:t>
      </w:r>
      <w:r w:rsidR="00C164B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мінеральних добрив</w:t>
      </w:r>
    </w:p>
    <w:p w:rsidR="00217A3B" w:rsidRDefault="00217A3B" w:rsidP="00D426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0B40" w:rsidRPr="00DA0B40" w:rsidRDefault="00D4686B" w:rsidP="00D426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DA0B40"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Державна політика України в сфері діяльності, пов'язаної </w:t>
      </w:r>
      <w:r w:rsidR="00DA0B40"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пестицидами, базується на:</w:t>
      </w:r>
    </w:p>
    <w:p w:rsidR="00DA0B40" w:rsidRPr="00DA0B40" w:rsidRDefault="00DA0B40" w:rsidP="00D426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8"/>
      <w:bookmarkEnd w:id="0"/>
      <w:r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пріоритетності  збереження  здоров'я   людини   і   охорони </w:t>
      </w:r>
      <w:r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навколишнього  середовища по відношенню до економічного ефекту від </w:t>
      </w:r>
      <w:r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застосування пестицидів;</w:t>
      </w:r>
    </w:p>
    <w:p w:rsidR="00DA0B40" w:rsidRPr="00DA0B40" w:rsidRDefault="00DA0B40" w:rsidP="00D426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9"/>
      <w:bookmarkEnd w:id="1"/>
      <w:r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безпеці  для здоров'я людини і навколишнього середовища під </w:t>
      </w:r>
      <w:r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час виробництва,  випробування і застосування пестицидів за  умови </w:t>
      </w:r>
      <w:r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дотримання вимог, встановлених державними стандартами, санітарними </w:t>
      </w:r>
      <w:r w:rsidRPr="00DA0B4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нормами, регламентами та іншими нормативними документами. </w:t>
      </w:r>
    </w:p>
    <w:p w:rsidR="001D20B5" w:rsidRPr="00485DCA" w:rsidRDefault="00D4686B" w:rsidP="00D46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A00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1D20B5" w:rsidRPr="006A00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изк</w:t>
      </w:r>
      <w:r w:rsidRPr="006A00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1D20B5" w:rsidRPr="006A00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нормативно-правових актів</w:t>
      </w:r>
      <w:r w:rsidRPr="006A00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регулює даний вид діяльності</w:t>
      </w:r>
      <w:r w:rsidR="001D20B5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 Закон України «Про забезпечення санітарного та епідемічного благополуччя населення», Закон України «Про пестициди і агрохімікати»,</w:t>
      </w:r>
      <w:r w:rsidRPr="00D46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20B5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</w:t>
      </w:r>
      <w:r w:rsidRPr="00D4686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D20B5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санітарн</w:t>
      </w:r>
      <w:r w:rsidRPr="00D4686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D20B5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правила ДСП 8.8.1.2.001-98 «Транспортування, зберігання та застосування пестицидів у народному господарстві», в яких зазначено головні заходи, що спрямовані на захист життя та здоров’я населення. Одним із них є необхідність паспортизації об’єкта (документального засвідчення наявності належних умов для виробництва, транспортування, зберігання та роботи з пестицидами). </w:t>
      </w:r>
      <w:r w:rsidR="001D20B5" w:rsidRPr="00485D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Дані правила обов’язкові для дотримання всіма підприємствами, установами і організаціями, приватними господарствами та особами, що проводять будь</w:t>
      </w:r>
      <w:r w:rsidRPr="00485D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1D20B5" w:rsidRPr="00485D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які дії з пестицидами.</w:t>
      </w:r>
    </w:p>
    <w:p w:rsidR="003E3E7B" w:rsidRPr="00D426CE" w:rsidRDefault="003E3E7B" w:rsidP="00E32B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Зберігання пестицидів допускається тільки в спеціально призначених для цього складах</w:t>
      </w:r>
      <w:r w:rsidRPr="00D426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базисних та витратних. До базисних складів відносяться прирейкові, пришосейні, районні, </w:t>
      </w:r>
      <w:proofErr w:type="spellStart"/>
      <w:r w:rsidRPr="00D426C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міжгосподарчі</w:t>
      </w:r>
      <w:proofErr w:type="spellEnd"/>
      <w:r w:rsidRPr="00D426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склади, до витратних – склади господарств, тваринницьких і птахівницьких комплексів, а також інших організацій.</w:t>
      </w:r>
    </w:p>
    <w:p w:rsidR="00E32BFB" w:rsidRPr="001D20B5" w:rsidRDefault="003E3E7B" w:rsidP="00E32B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Зберігання пестицидів на складі допускається тільки після його </w:t>
      </w:r>
      <w:r w:rsidR="00E32BFB"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обстеження</w:t>
      </w:r>
      <w:r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 отримання </w:t>
      </w:r>
      <w:r w:rsidR="00E32BFB"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санітарного паспорта</w:t>
      </w:r>
      <w:r w:rsidRPr="00D426C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2BFB" w:rsidRPr="00E32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2BFB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Санітарний паспорт на право одержання, зберігання і застосування пестицидів і мінеральних добрив видається Управлінням державного нагляду за дотриманням санітарного законодавства Головного управління </w:t>
      </w:r>
      <w:proofErr w:type="spellStart"/>
      <w:r w:rsidR="00E32BFB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="00E32BFB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E32BFB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Чернівецькій</w:t>
      </w:r>
      <w:r w:rsidR="00E32BFB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за результатами проведеного позапланового обстеження за заявою суб’єкта господарювання при відсутності порушень. </w:t>
      </w:r>
      <w:r w:rsidR="00E32BFB"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 подається на ім’я начальника Головного управління</w:t>
      </w:r>
      <w:r w:rsidR="00E32BFB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проведення санітарно-епідеміологічного обстеження об’єкту та видачі санітарного паспорту на право одержання, зберігання і застосування пестицидів і мінеральних добрив</w:t>
      </w:r>
      <w:r w:rsidR="005742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2BFB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700E0" w:rsidRPr="001D20B5" w:rsidRDefault="003E3E7B" w:rsidP="0087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6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0E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Паспортизація здійснюється щорічно</w:t>
      </w:r>
      <w:r w:rsidRPr="00D426C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700E0" w:rsidRPr="00870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0E0"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Зберігання пестицидів на </w:t>
      </w:r>
      <w:proofErr w:type="spellStart"/>
      <w:r w:rsidR="008700E0"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непаспортизованих</w:t>
      </w:r>
      <w:proofErr w:type="spellEnd"/>
      <w:r w:rsidR="008700E0" w:rsidRPr="00485D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складах заборонено</w:t>
      </w:r>
      <w:r w:rsidR="008700E0"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. У випадку відмови в паспортизації складу або вилучення паспорта на право зберігання пестицидів керівництво господарства може за домовленістю із сусіднім господарством зберігати хімічні речовини на його складі і завозити пестициди з базисного складу до місць застосування з розрахунку одноденного використання.</w:t>
      </w:r>
    </w:p>
    <w:p w:rsidR="003E3E7B" w:rsidRPr="00D426CE" w:rsidRDefault="003E3E7B" w:rsidP="00E32B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6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виявлені порушень санітарних правил паспорт вилучається і подальша експлуатація складу не допускається.</w:t>
      </w:r>
    </w:p>
    <w:p w:rsidR="003E3E7B" w:rsidRPr="00D426CE" w:rsidRDefault="005058E5" w:rsidP="00870574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58E5">
        <w:rPr>
          <w:rFonts w:ascii="Times New Roman" w:hAnsi="Times New Roman" w:cs="Times New Roman"/>
          <w:sz w:val="28"/>
          <w:szCs w:val="28"/>
        </w:rPr>
        <w:lastRenderedPageBreak/>
        <w:t xml:space="preserve">З метою запобігання негативного впливу пестицидів на довкілля, </w:t>
      </w:r>
      <w:r w:rsidRPr="00485DCA">
        <w:rPr>
          <w:rFonts w:ascii="Times New Roman" w:hAnsi="Times New Roman" w:cs="Times New Roman"/>
          <w:b/>
          <w:sz w:val="28"/>
          <w:szCs w:val="28"/>
        </w:rPr>
        <w:t>встановлюються санітарно-захисні зони</w:t>
      </w:r>
      <w:r w:rsidRPr="005058E5">
        <w:rPr>
          <w:rFonts w:ascii="Times New Roman" w:hAnsi="Times New Roman" w:cs="Times New Roman"/>
          <w:sz w:val="28"/>
          <w:szCs w:val="28"/>
        </w:rPr>
        <w:t xml:space="preserve">. </w:t>
      </w:r>
      <w:r w:rsidRPr="00485DCA">
        <w:rPr>
          <w:rFonts w:ascii="Times New Roman" w:hAnsi="Times New Roman" w:cs="Times New Roman"/>
          <w:b/>
          <w:sz w:val="28"/>
          <w:szCs w:val="28"/>
        </w:rPr>
        <w:t>Ширина санітарно-захисних зон для складів</w:t>
      </w:r>
      <w:r w:rsidRPr="005058E5">
        <w:rPr>
          <w:rFonts w:ascii="Times New Roman" w:hAnsi="Times New Roman" w:cs="Times New Roman"/>
          <w:sz w:val="28"/>
          <w:szCs w:val="28"/>
        </w:rPr>
        <w:t xml:space="preserve"> визначається в залежності від їхньої місткості, але </w:t>
      </w:r>
      <w:r w:rsidRPr="00485DCA">
        <w:rPr>
          <w:rFonts w:ascii="Times New Roman" w:hAnsi="Times New Roman" w:cs="Times New Roman"/>
          <w:b/>
          <w:sz w:val="28"/>
          <w:szCs w:val="28"/>
        </w:rPr>
        <w:t>не менше 200 м</w:t>
      </w:r>
      <w:r w:rsidRPr="005058E5">
        <w:rPr>
          <w:rFonts w:ascii="Times New Roman" w:hAnsi="Times New Roman" w:cs="Times New Roman"/>
          <w:sz w:val="28"/>
          <w:szCs w:val="28"/>
        </w:rPr>
        <w:t>.</w:t>
      </w:r>
    </w:p>
    <w:p w:rsidR="003E3E7B" w:rsidRPr="00D426CE" w:rsidRDefault="003E3E7B" w:rsidP="00485DCA">
      <w:pPr>
        <w:shd w:val="clear" w:color="auto" w:fill="FFFFFF"/>
        <w:spacing w:after="0" w:line="27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6C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Розміри санітарно-захисних зон від складів зберігання отрутохімікатів та мінеральних добрив до житлової забудови та водоймищ</w:t>
      </w:r>
    </w:p>
    <w:tbl>
      <w:tblPr>
        <w:tblW w:w="0" w:type="auto"/>
        <w:tblBorders>
          <w:top w:val="single" w:sz="6" w:space="0" w:color="009056"/>
          <w:left w:val="single" w:sz="6" w:space="0" w:color="009056"/>
          <w:bottom w:val="single" w:sz="6" w:space="0" w:color="009056"/>
          <w:right w:val="single" w:sz="6" w:space="0" w:color="0090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00"/>
        <w:gridCol w:w="989"/>
        <w:gridCol w:w="1083"/>
        <w:gridCol w:w="1083"/>
        <w:gridCol w:w="1083"/>
        <w:gridCol w:w="1167"/>
        <w:gridCol w:w="944"/>
      </w:tblGrid>
      <w:tr w:rsidR="008700E0" w:rsidRPr="008700E0" w:rsidTr="00C933AE">
        <w:tc>
          <w:tcPr>
            <w:tcW w:w="0" w:type="auto"/>
            <w:vMerge w:val="restart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Пестициди, що</w:t>
            </w: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зберігаються</w:t>
            </w:r>
          </w:p>
        </w:tc>
        <w:tc>
          <w:tcPr>
            <w:tcW w:w="0" w:type="auto"/>
            <w:gridSpan w:val="7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Розміри санітарно-захисних зон, м</w:t>
            </w:r>
          </w:p>
        </w:tc>
      </w:tr>
      <w:tr w:rsidR="008700E0" w:rsidRPr="008700E0" w:rsidTr="00C933AE">
        <w:tc>
          <w:tcPr>
            <w:tcW w:w="0" w:type="auto"/>
            <w:vMerge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</w:t>
            </w:r>
          </w:p>
        </w:tc>
      </w:tr>
      <w:tr w:rsidR="008700E0" w:rsidRPr="008700E0" w:rsidTr="00C933AE">
        <w:tc>
          <w:tcPr>
            <w:tcW w:w="0" w:type="auto"/>
            <w:vMerge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Допустимі кількості пестицидів та мінеральних добрив, т</w:t>
            </w:r>
          </w:p>
        </w:tc>
      </w:tr>
      <w:tr w:rsidR="008700E0" w:rsidRPr="008700E0" w:rsidTr="00C933AE"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Отрутохімікати</w:t>
            </w: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/пестициди/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 20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21-50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51-100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101-300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301-400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401-500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&gt;500</w:t>
            </w:r>
          </w:p>
        </w:tc>
      </w:tr>
      <w:tr w:rsidR="008700E0" w:rsidRPr="008700E0" w:rsidTr="00C933AE"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Мінеральні добрива I типу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 50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51-100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101-300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301-400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401-500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&gt;500</w:t>
            </w:r>
          </w:p>
        </w:tc>
      </w:tr>
      <w:tr w:rsidR="008700E0" w:rsidRPr="008700E0" w:rsidTr="00C933AE"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Мінеральні добрива II типу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 200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201-400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401-600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601-800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&gt;800</w:t>
            </w:r>
          </w:p>
        </w:tc>
      </w:tr>
      <w:tr w:rsidR="008700E0" w:rsidRPr="008700E0" w:rsidTr="00C933AE"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Мінеральні добрива ІІІ типу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 100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101-500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501-1000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1001-2000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2001-3000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&gt;3000</w:t>
            </w:r>
          </w:p>
        </w:tc>
      </w:tr>
      <w:tr w:rsidR="008700E0" w:rsidRPr="008700E0" w:rsidTr="00C933AE"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Мінеральні добрива ІV типу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 500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501-1000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1001-2000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2001-4000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4001-8000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8001-10000</w:t>
            </w:r>
          </w:p>
        </w:tc>
        <w:tc>
          <w:tcPr>
            <w:tcW w:w="0" w:type="auto"/>
            <w:tcBorders>
              <w:top w:val="single" w:sz="6" w:space="0" w:color="009056"/>
              <w:left w:val="single" w:sz="6" w:space="0" w:color="009056"/>
              <w:bottom w:val="single" w:sz="6" w:space="0" w:color="009056"/>
              <w:right w:val="single" w:sz="6" w:space="0" w:color="00905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3E7B" w:rsidRPr="00D426CE" w:rsidRDefault="003E3E7B" w:rsidP="00C9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D426C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&gt;10000</w:t>
            </w:r>
          </w:p>
        </w:tc>
      </w:tr>
    </w:tbl>
    <w:p w:rsidR="003E3E7B" w:rsidRPr="00D426CE" w:rsidRDefault="003E3E7B" w:rsidP="00B33F9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26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uk-UA"/>
        </w:rPr>
        <w:t>Примітки:</w:t>
      </w:r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 До I типу добрив відносяться: хлористий амоній, аміак водний, аміак рідкий,</w:t>
      </w:r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аміакати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вуглеаміакати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цианомід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калію, сульфат амонію, сульфат амонію натрію;</w:t>
      </w:r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II типу – калієва селітра, аміачна селітра, вапняно-аміачна селітра, на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трієва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селітра, кальцієва селітра;</w:t>
      </w:r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III типу – фосфоритна мука, кісткова мука, преципітат, нітрофоска,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діа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моній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фосфат, томасшлак, суперфосфат простий порошковий, калійна сіль,сульфат калію, калімагнезія,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калімаг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хлористий калій-електроліт,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крейдамелена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вапняна мука /порошок/,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нітрофос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термофос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IV типу відносяться – вапняна мука /сирого помелу/, ЖКУ,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карбомід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су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перфосфат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простий гранульований, суперфосфат двійчастий гранульований,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нітроамофоска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нітроамофос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амофос,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амофоска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каініт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, хлористий калій.</w:t>
      </w:r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2. При зберіганні на одному майданчику отрутохімікатів та мінеральних добрив,а також добрив різних типів санітарно-захисний розрив встановлюється </w:t>
      </w:r>
      <w:proofErr w:type="spellStart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попереважаючому</w:t>
      </w:r>
      <w:proofErr w:type="spellEnd"/>
      <w:r w:rsidRPr="00D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типу.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5D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При проведенні </w:t>
      </w:r>
      <w:r w:rsidR="008700E0" w:rsidRPr="00485D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позапланового обстеження</w:t>
      </w:r>
      <w:r w:rsidRPr="00485D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перевіряється наступне</w:t>
      </w: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викопіювання з плану території, розроблене ліцензованою архітектурно-проектною організацією, з нанесенням приміщень складу та прилеглої території, із зазначенням призначення приміщення (склад для зберігання пестицидів і мінеральних добрив), найближчих відстаней до об’єктів житлової забудови, водопостачання тощо;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інформація про тип складу (базисний чи витратний), його проектну потужність;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дані щодо наявності відповідної матеріальної бази, комплексу будівель, споруд (договір оренди, дані на право власності, технічний паспорт, інвентарна справа, проектна документація тощо);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перелік пестицидів і мінеральних добрив, документація на них, дані щодо виробників та постачальників;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затверджений керівником підприємства список осіб, допущених до роботи з пестицидами і агрохімікатами, та відомості про їх забезпечення засобами індивідуального захисту (ЗІЗ);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допуск (посвідчення) на право здійснення робіт з застосування пестицидів та агрохімікатів;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посвідчення про проходження спеціальної підготовки з питань безпечного проведення робіт з пестицидами та агрохімікатами;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дані щодо проходження працівниками періодичних та попередніх (перед прийняттям на роботу медичних оглядів);</w:t>
      </w:r>
    </w:p>
    <w:p w:rsidR="001D20B5" w:rsidRPr="001D20B5" w:rsidRDefault="001D20B5" w:rsidP="008700E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перелік технологічних процесів, які виконуватимуться на підприємстві (отримання, зберігання, використання, виготовлення, фасування, приготування робочих розчинів тощо), та наявного технологічного обладнання з копіями документів, що засвідчують їх безпечність та походження;</w:t>
      </w:r>
    </w:p>
    <w:p w:rsidR="001D20B5" w:rsidRDefault="001D20B5" w:rsidP="00A4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0B5">
        <w:rPr>
          <w:rFonts w:ascii="Times New Roman" w:eastAsia="Times New Roman" w:hAnsi="Times New Roman" w:cs="Times New Roman"/>
          <w:sz w:val="28"/>
          <w:szCs w:val="28"/>
          <w:lang w:eastAsia="uk-UA"/>
        </w:rPr>
        <w:t>- дані щодо забезпечення працівників достатньою кількістю спецодягу та ЗІЗ, умов щодо здійснення їх централізованого прання (договір, умови для прання в межах підприємства)</w:t>
      </w:r>
      <w:r w:rsidR="008700E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тощо.</w:t>
      </w:r>
    </w:p>
    <w:p w:rsidR="00A44840" w:rsidRPr="00A44840" w:rsidRDefault="00A44840" w:rsidP="00A448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840">
        <w:rPr>
          <w:sz w:val="28"/>
          <w:szCs w:val="28"/>
        </w:rPr>
        <w:t> Правильність зберігання пестицидів і мінеральних добрив ви</w:t>
      </w:r>
      <w:r w:rsidR="009035CC">
        <w:rPr>
          <w:sz w:val="28"/>
          <w:szCs w:val="28"/>
        </w:rPr>
        <w:t>значені н</w:t>
      </w:r>
      <w:r w:rsidRPr="00A44840">
        <w:rPr>
          <w:sz w:val="28"/>
          <w:szCs w:val="28"/>
        </w:rPr>
        <w:t>аказ</w:t>
      </w:r>
      <w:r w:rsidR="009035CC">
        <w:rPr>
          <w:sz w:val="28"/>
          <w:szCs w:val="28"/>
        </w:rPr>
        <w:t>ом</w:t>
      </w:r>
      <w:r w:rsidRPr="00A44840">
        <w:rPr>
          <w:sz w:val="28"/>
          <w:szCs w:val="28"/>
        </w:rPr>
        <w:t xml:space="preserve"> Міністерства охорони здоров’я </w:t>
      </w:r>
      <w:r w:rsidR="009035CC">
        <w:rPr>
          <w:sz w:val="28"/>
          <w:szCs w:val="28"/>
        </w:rPr>
        <w:t>України</w:t>
      </w:r>
      <w:r w:rsidRPr="00A44840">
        <w:rPr>
          <w:sz w:val="28"/>
          <w:szCs w:val="28"/>
        </w:rPr>
        <w:t xml:space="preserve"> №1 від 03.08.1998 р. «</w:t>
      </w:r>
      <w:r w:rsidRPr="00A44840">
        <w:rPr>
          <w:rStyle w:val="a4"/>
          <w:sz w:val="28"/>
          <w:szCs w:val="28"/>
        </w:rPr>
        <w:t>Транспортування, зберігання та застосування пестицидів у народному господарстві Державні санітарні правила ДСП 8.8.1.2.001-98»</w:t>
      </w:r>
      <w:r>
        <w:rPr>
          <w:rStyle w:val="a4"/>
          <w:sz w:val="28"/>
          <w:szCs w:val="28"/>
        </w:rPr>
        <w:t>.</w:t>
      </w:r>
      <w:r w:rsidRPr="00A44840">
        <w:rPr>
          <w:rFonts w:ascii="Helvetica" w:hAnsi="Helvetica"/>
          <w:color w:val="FF0000"/>
          <w:sz w:val="21"/>
          <w:szCs w:val="21"/>
        </w:rPr>
        <w:t xml:space="preserve"> </w:t>
      </w:r>
    </w:p>
    <w:p w:rsidR="006A063C" w:rsidRPr="006A063C" w:rsidRDefault="006A063C" w:rsidP="006A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3C">
        <w:rPr>
          <w:rFonts w:ascii="Times New Roman" w:hAnsi="Times New Roman" w:cs="Times New Roman"/>
          <w:sz w:val="28"/>
          <w:szCs w:val="28"/>
        </w:rPr>
        <w:t>Відповідальність за зберігання і видачу пестицидів несе завідувач складом, в обов’язки якого входить приймання, розміщення і видача пестицидів.  Перебування людей на складі допускається тільки під час приймання і відпуску препаратів, а також при виконанні спеціальних робіт.</w:t>
      </w:r>
    </w:p>
    <w:p w:rsidR="006A063C" w:rsidRPr="006A063C" w:rsidRDefault="006A063C" w:rsidP="006A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3C">
        <w:rPr>
          <w:rFonts w:ascii="Times New Roman" w:hAnsi="Times New Roman" w:cs="Times New Roman"/>
          <w:sz w:val="28"/>
          <w:szCs w:val="28"/>
        </w:rPr>
        <w:t xml:space="preserve"> Всі пестициди, що поступають на склад і що відпускаються зі складу, записуються в пронумеровану, прошнуровану і скріплену печаткою книгу приходу-витрати.</w:t>
      </w:r>
    </w:p>
    <w:p w:rsidR="006A063C" w:rsidRP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3C">
        <w:rPr>
          <w:rFonts w:ascii="Times New Roman" w:hAnsi="Times New Roman" w:cs="Times New Roman"/>
          <w:sz w:val="28"/>
          <w:szCs w:val="28"/>
        </w:rPr>
        <w:t xml:space="preserve"> Під час перебування на складі забороняється:</w:t>
      </w:r>
    </w:p>
    <w:p w:rsidR="006A063C" w:rsidRPr="00A618A6" w:rsidRDefault="006A063C" w:rsidP="00A618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A6">
        <w:rPr>
          <w:rFonts w:ascii="Times New Roman" w:hAnsi="Times New Roman" w:cs="Times New Roman"/>
          <w:sz w:val="28"/>
          <w:szCs w:val="28"/>
        </w:rPr>
        <w:t>приймання їжі, пиття, паління;</w:t>
      </w:r>
    </w:p>
    <w:p w:rsidR="006A063C" w:rsidRPr="00A618A6" w:rsidRDefault="006A063C" w:rsidP="00A618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A6">
        <w:rPr>
          <w:rFonts w:ascii="Times New Roman" w:hAnsi="Times New Roman" w:cs="Times New Roman"/>
          <w:sz w:val="28"/>
          <w:szCs w:val="28"/>
        </w:rPr>
        <w:t>робота без спецодягу і засобів індивідуального захисту;</w:t>
      </w:r>
    </w:p>
    <w:p w:rsidR="006A063C" w:rsidRPr="00A618A6" w:rsidRDefault="006A063C" w:rsidP="00A618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A6">
        <w:rPr>
          <w:rFonts w:ascii="Times New Roman" w:hAnsi="Times New Roman" w:cs="Times New Roman"/>
          <w:sz w:val="28"/>
          <w:szCs w:val="28"/>
        </w:rPr>
        <w:t>присутність сторонніх осіб.</w:t>
      </w:r>
    </w:p>
    <w:p w:rsidR="006A063C" w:rsidRPr="00A618A6" w:rsidRDefault="006A063C" w:rsidP="00A4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A6">
        <w:rPr>
          <w:rFonts w:ascii="Times New Roman" w:hAnsi="Times New Roman" w:cs="Times New Roman"/>
          <w:sz w:val="28"/>
          <w:szCs w:val="28"/>
        </w:rPr>
        <w:t xml:space="preserve"> </w:t>
      </w:r>
      <w:r w:rsidRPr="00FF5B75">
        <w:rPr>
          <w:rFonts w:ascii="Times New Roman" w:hAnsi="Times New Roman" w:cs="Times New Roman"/>
          <w:b/>
          <w:sz w:val="28"/>
          <w:szCs w:val="28"/>
        </w:rPr>
        <w:t>Працівники, робота яких пов’язана з транспортуванням, зберіганням та застосуванням пестицидів, мають</w:t>
      </w:r>
      <w:r w:rsidRPr="00A618A6">
        <w:rPr>
          <w:rFonts w:ascii="Times New Roman" w:hAnsi="Times New Roman" w:cs="Times New Roman"/>
          <w:sz w:val="28"/>
          <w:szCs w:val="28"/>
        </w:rPr>
        <w:t xml:space="preserve"> обов’язково </w:t>
      </w:r>
      <w:r w:rsidRPr="00FF5B75">
        <w:rPr>
          <w:rFonts w:ascii="Times New Roman" w:hAnsi="Times New Roman" w:cs="Times New Roman"/>
          <w:i/>
          <w:sz w:val="28"/>
          <w:szCs w:val="28"/>
        </w:rPr>
        <w:t xml:space="preserve">проходити попередній медичний огляд. </w:t>
      </w:r>
      <w:r w:rsidRPr="00A618A6">
        <w:rPr>
          <w:rFonts w:ascii="Times New Roman" w:hAnsi="Times New Roman" w:cs="Times New Roman"/>
          <w:sz w:val="28"/>
          <w:szCs w:val="28"/>
        </w:rPr>
        <w:t xml:space="preserve">  До робіт з пестицидами не допускаються особи, які за результатами медичного огляду мають протипоказання за станом здоров’я. Кожен працівник повинен </w:t>
      </w:r>
      <w:r w:rsidRPr="00FF5B75">
        <w:rPr>
          <w:rFonts w:ascii="Times New Roman" w:hAnsi="Times New Roman" w:cs="Times New Roman"/>
          <w:i/>
          <w:sz w:val="28"/>
          <w:szCs w:val="28"/>
        </w:rPr>
        <w:t>мати допуск на право роботи</w:t>
      </w:r>
      <w:r w:rsidRPr="00A618A6">
        <w:rPr>
          <w:rFonts w:ascii="Times New Roman" w:hAnsi="Times New Roman" w:cs="Times New Roman"/>
          <w:sz w:val="28"/>
          <w:szCs w:val="28"/>
        </w:rPr>
        <w:t xml:space="preserve">, пов’язаної з транспортуванням, зберіганням та застосуванням пестицидів та агрохімікатів. Його видає Управління </w:t>
      </w:r>
      <w:proofErr w:type="spellStart"/>
      <w:r w:rsidRPr="00A618A6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Pr="00A618A6">
        <w:rPr>
          <w:rFonts w:ascii="Times New Roman" w:hAnsi="Times New Roman" w:cs="Times New Roman"/>
          <w:sz w:val="28"/>
          <w:szCs w:val="28"/>
        </w:rPr>
        <w:t xml:space="preserve"> безпеки Головного управління </w:t>
      </w:r>
      <w:proofErr w:type="spellStart"/>
      <w:r w:rsidRPr="00A618A6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A618A6">
        <w:rPr>
          <w:rFonts w:ascii="Times New Roman" w:hAnsi="Times New Roman" w:cs="Times New Roman"/>
          <w:sz w:val="28"/>
          <w:szCs w:val="28"/>
        </w:rPr>
        <w:t xml:space="preserve"> в області. Підставою для видачі допуску є </w:t>
      </w:r>
      <w:r w:rsidRPr="00FF5B75">
        <w:rPr>
          <w:rFonts w:ascii="Times New Roman" w:hAnsi="Times New Roman" w:cs="Times New Roman"/>
          <w:i/>
          <w:sz w:val="28"/>
          <w:szCs w:val="28"/>
        </w:rPr>
        <w:t>посвідчення про проходження спеціальної підготовки з питань безпечного виконання роботи з пестицидами та агрохімікатами</w:t>
      </w:r>
      <w:r w:rsidRPr="00A618A6">
        <w:rPr>
          <w:rFonts w:ascii="Times New Roman" w:hAnsi="Times New Roman" w:cs="Times New Roman"/>
          <w:sz w:val="28"/>
          <w:szCs w:val="28"/>
        </w:rPr>
        <w:t xml:space="preserve"> та медична книжка з висновком медичної комісії про відсутність протипоказань за станом здоров’я. Особи, </w:t>
      </w:r>
      <w:r w:rsidRPr="00A618A6">
        <w:rPr>
          <w:rFonts w:ascii="Times New Roman" w:hAnsi="Times New Roman" w:cs="Times New Roman"/>
          <w:sz w:val="28"/>
          <w:szCs w:val="28"/>
        </w:rPr>
        <w:lastRenderedPageBreak/>
        <w:t>діяльність яких пов’язана зі зберіганням, транспортуванням та застосуванням пестицидів та агрохімікатів, повинні мати при собі під час виконання робіт допуск, медичну книжку і наряд на виконання роботи.</w:t>
      </w:r>
    </w:p>
    <w:p w:rsidR="004E6A1A" w:rsidRDefault="006A063C" w:rsidP="004E6A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B75">
        <w:rPr>
          <w:b/>
          <w:sz w:val="28"/>
          <w:szCs w:val="28"/>
        </w:rPr>
        <w:t>Зберігання засобів захисту рослин (ЗЗР) потребує особливих умов.</w:t>
      </w:r>
      <w:r w:rsidRPr="00A44840">
        <w:rPr>
          <w:sz w:val="28"/>
          <w:szCs w:val="28"/>
        </w:rPr>
        <w:t xml:space="preserve"> Деякі із ЗЗР - небезпечні для людей та тварин. До того ж, у разі порушення правил зберігання, температурних режимів вони можуть зіпсуватися і втратити свої властивості. </w:t>
      </w:r>
      <w:r w:rsidRPr="00FF5B75">
        <w:rPr>
          <w:b/>
          <w:sz w:val="28"/>
          <w:szCs w:val="28"/>
        </w:rPr>
        <w:t>Найбільш шкідливими для пестицидів є низькі температури.</w:t>
      </w:r>
      <w:r w:rsidRPr="00A44840">
        <w:rPr>
          <w:sz w:val="28"/>
          <w:szCs w:val="28"/>
        </w:rPr>
        <w:t xml:space="preserve"> Під їх впливом може відбутися розшарування ЗЗР, випадіння осаду, що зрештою призведе до закупорювання розпилювачів та фільтрів обприскувачів. Щоб уникнути цього, </w:t>
      </w:r>
      <w:r w:rsidRPr="00FF5B75">
        <w:rPr>
          <w:i/>
          <w:sz w:val="28"/>
          <w:szCs w:val="28"/>
        </w:rPr>
        <w:t>температура у спеціалізованому приміщенні,</w:t>
      </w:r>
      <w:r w:rsidRPr="00A44840">
        <w:rPr>
          <w:sz w:val="28"/>
          <w:szCs w:val="28"/>
        </w:rPr>
        <w:t xml:space="preserve"> де зберігаються хімікати, </w:t>
      </w:r>
      <w:r w:rsidRPr="00FF5B75">
        <w:rPr>
          <w:i/>
          <w:sz w:val="28"/>
          <w:szCs w:val="28"/>
        </w:rPr>
        <w:t>не повинна опускатися нижче 5 °C.</w:t>
      </w:r>
      <w:r w:rsidRPr="00A44840">
        <w:rPr>
          <w:sz w:val="28"/>
          <w:szCs w:val="28"/>
        </w:rPr>
        <w:t xml:space="preserve"> У холодну пору року хімікати мають зберігатися на спеціалізованих опалювальних складах, де, згідно зі </w:t>
      </w:r>
      <w:proofErr w:type="spellStart"/>
      <w:r w:rsidRPr="00A44840">
        <w:rPr>
          <w:sz w:val="28"/>
          <w:szCs w:val="28"/>
        </w:rPr>
        <w:t>СНіП</w:t>
      </w:r>
      <w:proofErr w:type="spellEnd"/>
      <w:r w:rsidRPr="00A44840">
        <w:rPr>
          <w:sz w:val="28"/>
          <w:szCs w:val="28"/>
        </w:rPr>
        <w:t xml:space="preserve"> 11 108 78 «Склади сухих мінеральних добрив та хімічних засобів захисту рослин», температура повітря повинна триматися на рівні 8–10 °C, відносна вологість - </w:t>
      </w:r>
      <w:r w:rsidRPr="00FF5B75">
        <w:rPr>
          <w:i/>
          <w:sz w:val="28"/>
          <w:szCs w:val="28"/>
        </w:rPr>
        <w:t>не перевищувати 75%.</w:t>
      </w:r>
      <w:r w:rsidR="004E6A1A" w:rsidRPr="004E6A1A">
        <w:rPr>
          <w:sz w:val="28"/>
          <w:szCs w:val="28"/>
        </w:rPr>
        <w:t xml:space="preserve"> </w:t>
      </w:r>
    </w:p>
    <w:p w:rsidR="004E6A1A" w:rsidRPr="00FF5B75" w:rsidRDefault="004E6A1A" w:rsidP="004E6A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A44840">
        <w:rPr>
          <w:sz w:val="28"/>
          <w:szCs w:val="28"/>
        </w:rPr>
        <w:t xml:space="preserve">При зберіганні на таких складах крім пестицидів мінеральних добрив (в окремих спорудах) санітарно-захисні зони встановлюються, виходячи з кількості пестицидів, що зберігаються. </w:t>
      </w:r>
      <w:r w:rsidRPr="00FF5B75">
        <w:rPr>
          <w:i/>
          <w:sz w:val="28"/>
          <w:szCs w:val="28"/>
        </w:rPr>
        <w:t>Ширина санітарно-захисних зон для витратних складів повинна бути не менше 200 м.</w:t>
      </w:r>
    </w:p>
    <w:p w:rsidR="006A063C" w:rsidRPr="00A44840" w:rsidRDefault="006A063C" w:rsidP="004E6A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63C">
        <w:rPr>
          <w:rFonts w:ascii="Helvetica" w:hAnsi="Helvetica"/>
          <w:color w:val="FF0000"/>
          <w:sz w:val="21"/>
          <w:szCs w:val="21"/>
        </w:rPr>
        <w:t> </w:t>
      </w:r>
      <w:r w:rsidR="008076FA">
        <w:rPr>
          <w:rFonts w:asciiTheme="minorHAnsi" w:hAnsiTheme="minorHAnsi"/>
          <w:color w:val="FF0000"/>
          <w:sz w:val="21"/>
          <w:szCs w:val="21"/>
        </w:rPr>
        <w:tab/>
      </w:r>
      <w:r w:rsidRPr="00A44840">
        <w:rPr>
          <w:rFonts w:ascii="Helvetica" w:hAnsi="Helvetica"/>
          <w:sz w:val="21"/>
          <w:szCs w:val="21"/>
        </w:rPr>
        <w:t> </w:t>
      </w:r>
      <w:r w:rsidRPr="00A44840">
        <w:rPr>
          <w:sz w:val="28"/>
          <w:szCs w:val="28"/>
        </w:rPr>
        <w:t>При відсутності на витратних складах централізованого водопостачання вода повинна доставлятися і зберігатися в спеціальних ємкостях. Обладнання складу душовою установкою є обов'язковим. Обладнується "мала каналізація" або здійснюється ємнісне накопичення з регуляторним знешкодженням і вивезенням вмісту в спеціально відведені місця.</w:t>
      </w:r>
    </w:p>
    <w:p w:rsidR="006A063C" w:rsidRPr="00FF5B75" w:rsidRDefault="006A063C" w:rsidP="008F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A063C">
        <w:rPr>
          <w:rFonts w:ascii="Helvetica" w:hAnsi="Helvetica"/>
          <w:color w:val="FF0000"/>
          <w:sz w:val="21"/>
          <w:szCs w:val="21"/>
        </w:rPr>
        <w:t> </w:t>
      </w:r>
      <w:r w:rsidRPr="00FF5B75">
        <w:rPr>
          <w:b/>
          <w:sz w:val="28"/>
          <w:szCs w:val="28"/>
        </w:rPr>
        <w:t>Склади пестицидів, повинні мати під'їзні дороги з твердим покриттям</w:t>
      </w:r>
      <w:r w:rsidRPr="008F48C0">
        <w:rPr>
          <w:sz w:val="28"/>
          <w:szCs w:val="28"/>
        </w:rPr>
        <w:t>. На території цих об'єктів</w:t>
      </w:r>
      <w:r w:rsidRPr="008F48C0">
        <w:rPr>
          <w:rFonts w:ascii="Helvetica" w:hAnsi="Helvetica"/>
          <w:sz w:val="21"/>
          <w:szCs w:val="21"/>
        </w:rPr>
        <w:t xml:space="preserve"> </w:t>
      </w:r>
      <w:r w:rsidRPr="008F48C0">
        <w:rPr>
          <w:sz w:val="28"/>
          <w:szCs w:val="28"/>
        </w:rPr>
        <w:t xml:space="preserve">між окремими складськими приміщеннями і функціональними майданчиками обладнують проїзди з твердим покриттям або частину території повністю асфальтують. Територія складу або </w:t>
      </w:r>
      <w:proofErr w:type="spellStart"/>
      <w:r w:rsidRPr="008F48C0">
        <w:rPr>
          <w:sz w:val="28"/>
          <w:szCs w:val="28"/>
        </w:rPr>
        <w:t>агрохімкомплексу</w:t>
      </w:r>
      <w:proofErr w:type="spellEnd"/>
      <w:r w:rsidRPr="008F48C0">
        <w:rPr>
          <w:sz w:val="28"/>
          <w:szCs w:val="28"/>
        </w:rPr>
        <w:t xml:space="preserve"> повинна бути огороджена, озеленена, мати два виїзди. Площа її повинна бути достатньою для розвороту тракторів із навісними (агрегатованими) обприскувачами та ін. Вхідні двері складу і брама огорожі повинні замикатися на замок. На дверях повинен бути попереджувальний напис: </w:t>
      </w:r>
      <w:r w:rsidRPr="00FF5B75">
        <w:rPr>
          <w:b/>
          <w:sz w:val="28"/>
          <w:szCs w:val="28"/>
        </w:rPr>
        <w:t>"СКЛАД ПЕСТИЦИДІВ. СТОРОННІМ ВХІД ЗАБОРОНЕНИЙ".</w:t>
      </w:r>
    </w:p>
    <w:p w:rsidR="006A063C" w:rsidRPr="008F48C0" w:rsidRDefault="006A063C" w:rsidP="008F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GoBack"/>
      <w:bookmarkEnd w:id="2"/>
      <w:r w:rsidRPr="008F48C0">
        <w:rPr>
          <w:sz w:val="28"/>
          <w:szCs w:val="28"/>
        </w:rPr>
        <w:t>Склад і його територія повинні мати чітке зонування.</w:t>
      </w:r>
      <w:r w:rsidR="008F48C0">
        <w:rPr>
          <w:sz w:val="28"/>
          <w:szCs w:val="28"/>
        </w:rPr>
        <w:t xml:space="preserve"> </w:t>
      </w:r>
      <w:r w:rsidRPr="008F48C0">
        <w:rPr>
          <w:sz w:val="28"/>
          <w:szCs w:val="28"/>
        </w:rPr>
        <w:t xml:space="preserve">Базисні склади та </w:t>
      </w:r>
      <w:proofErr w:type="spellStart"/>
      <w:r w:rsidRPr="008F48C0">
        <w:rPr>
          <w:sz w:val="28"/>
          <w:szCs w:val="28"/>
        </w:rPr>
        <w:t>агрохімкомплекси</w:t>
      </w:r>
      <w:proofErr w:type="spellEnd"/>
      <w:r w:rsidRPr="008F48C0">
        <w:rPr>
          <w:sz w:val="28"/>
          <w:szCs w:val="28"/>
        </w:rPr>
        <w:t xml:space="preserve"> повинні мати функціональні зони.</w:t>
      </w:r>
    </w:p>
    <w:p w:rsidR="006A063C" w:rsidRPr="008F48C0" w:rsidRDefault="006A063C" w:rsidP="008F48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48C0">
        <w:rPr>
          <w:sz w:val="28"/>
          <w:szCs w:val="28"/>
        </w:rPr>
        <w:t> </w:t>
      </w:r>
      <w:r w:rsidR="008F48C0">
        <w:rPr>
          <w:sz w:val="28"/>
          <w:szCs w:val="28"/>
        </w:rPr>
        <w:tab/>
      </w:r>
      <w:r w:rsidRPr="008F48C0">
        <w:rPr>
          <w:sz w:val="28"/>
          <w:szCs w:val="28"/>
        </w:rPr>
        <w:t xml:space="preserve">Склад пестицидів повинен мати такі функціональні відділення (секції): загальне відділення для зберігання пестицидів; відділення для зберігання </w:t>
      </w:r>
      <w:proofErr w:type="spellStart"/>
      <w:r w:rsidRPr="008F48C0">
        <w:rPr>
          <w:sz w:val="28"/>
          <w:szCs w:val="28"/>
        </w:rPr>
        <w:t>пожежо-</w:t>
      </w:r>
      <w:proofErr w:type="spellEnd"/>
      <w:r w:rsidRPr="008F48C0">
        <w:rPr>
          <w:sz w:val="28"/>
          <w:szCs w:val="28"/>
        </w:rPr>
        <w:t xml:space="preserve"> і вибухонебезпечних речовин; відділення для зберігання надзвичайно небезпечних речовин (1 клас небезпечності).</w:t>
      </w:r>
    </w:p>
    <w:p w:rsidR="006A063C" w:rsidRPr="008F48C0" w:rsidRDefault="006A063C" w:rsidP="008F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8C0">
        <w:rPr>
          <w:sz w:val="28"/>
          <w:szCs w:val="28"/>
        </w:rPr>
        <w:t> Складування пестицидів повинно здійснюватися з урахуванням виду препаративних форм, хімічної сумісності і температурних режимів зберігання.</w:t>
      </w:r>
    </w:p>
    <w:p w:rsidR="006A063C" w:rsidRPr="008F48C0" w:rsidRDefault="006A063C" w:rsidP="008F48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48C0">
        <w:rPr>
          <w:sz w:val="28"/>
          <w:szCs w:val="28"/>
        </w:rPr>
        <w:t> Побутові приміщення на базисних складах і пунктах хімізації повинні бути типу санпропускника та мати: роздягальню брудного одягу; душову; роздягальню чистого одягу;  туалет. Крім того, повинні бути передбачені приміщення для зберігання спецодягу та індивідуальних захисних засобів, а також кімната для приймання їжі.</w:t>
      </w:r>
    </w:p>
    <w:p w:rsidR="006A063C" w:rsidRPr="008F48C0" w:rsidRDefault="006A063C" w:rsidP="008F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8C0">
        <w:rPr>
          <w:sz w:val="28"/>
          <w:szCs w:val="28"/>
        </w:rPr>
        <w:lastRenderedPageBreak/>
        <w:t xml:space="preserve"> На території складу пестицидів обладнується спеціальний майданчик і </w:t>
      </w:r>
      <w:proofErr w:type="spellStart"/>
      <w:r w:rsidRPr="008F48C0">
        <w:rPr>
          <w:sz w:val="28"/>
          <w:szCs w:val="28"/>
        </w:rPr>
        <w:t>гідроізольовані</w:t>
      </w:r>
      <w:proofErr w:type="spellEnd"/>
      <w:r w:rsidRPr="008F48C0">
        <w:rPr>
          <w:sz w:val="28"/>
          <w:szCs w:val="28"/>
        </w:rPr>
        <w:t xml:space="preserve"> колодязі-нейтралізатори для скидання і знешкодження забруднених пестицидами стічних і промивних вод. За умови погодження у встановленому порядку на великих базисних і прирейкових складах допускається експлуатація устаткування для термічного знешкодження залишків препаратів, тари, і непридатних пестицидів, та ін. спеціальних споруд.</w:t>
      </w:r>
    </w:p>
    <w:p w:rsidR="006A063C" w:rsidRPr="008F48C0" w:rsidRDefault="006A063C" w:rsidP="008F48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48C0">
        <w:rPr>
          <w:sz w:val="28"/>
          <w:szCs w:val="28"/>
        </w:rPr>
        <w:t> Вантажно-розвантажувальні роботи на складах повинні бути механізовані. Вибір засобів механізації (</w:t>
      </w:r>
      <w:proofErr w:type="spellStart"/>
      <w:r w:rsidRPr="008F48C0">
        <w:rPr>
          <w:sz w:val="28"/>
          <w:szCs w:val="28"/>
        </w:rPr>
        <w:t>штабелери</w:t>
      </w:r>
      <w:proofErr w:type="spellEnd"/>
      <w:r w:rsidRPr="008F48C0">
        <w:rPr>
          <w:sz w:val="28"/>
          <w:szCs w:val="28"/>
        </w:rPr>
        <w:t>, монорейки, кран-балки, електрокари, автонавантажувачі та ін.) обумовлюється потужністю складу.</w:t>
      </w:r>
    </w:p>
    <w:p w:rsidR="00467629" w:rsidRPr="008F48C0" w:rsidRDefault="006A063C" w:rsidP="008F48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48C0">
        <w:rPr>
          <w:sz w:val="28"/>
          <w:szCs w:val="28"/>
        </w:rPr>
        <w:t> </w:t>
      </w:r>
      <w:r w:rsidR="00467629" w:rsidRPr="008F48C0">
        <w:rPr>
          <w:sz w:val="28"/>
          <w:szCs w:val="28"/>
        </w:rPr>
        <w:t xml:space="preserve"> </w:t>
      </w:r>
      <w:r w:rsidR="008F48C0">
        <w:rPr>
          <w:sz w:val="28"/>
          <w:szCs w:val="28"/>
        </w:rPr>
        <w:tab/>
      </w:r>
      <w:r w:rsidR="00467629" w:rsidRPr="00FF5B75">
        <w:rPr>
          <w:b/>
          <w:sz w:val="28"/>
          <w:szCs w:val="28"/>
        </w:rPr>
        <w:t>Склади пестицидів обладнуються стелажами і полицями</w:t>
      </w:r>
      <w:r w:rsidR="00467629" w:rsidRPr="008F48C0">
        <w:rPr>
          <w:sz w:val="28"/>
          <w:szCs w:val="28"/>
        </w:rPr>
        <w:t xml:space="preserve">. Препарати, які </w:t>
      </w:r>
      <w:proofErr w:type="spellStart"/>
      <w:r w:rsidR="00467629" w:rsidRPr="008F48C0">
        <w:rPr>
          <w:sz w:val="28"/>
          <w:szCs w:val="28"/>
        </w:rPr>
        <w:t>затарені</w:t>
      </w:r>
      <w:proofErr w:type="spellEnd"/>
      <w:r w:rsidR="00467629" w:rsidRPr="008F48C0">
        <w:rPr>
          <w:sz w:val="28"/>
          <w:szCs w:val="28"/>
        </w:rPr>
        <w:t xml:space="preserve"> у паперові мішки, металеві бідони, пластмасові і металеві каністри, дерев’яні ящики і поліетиленові пакети, </w:t>
      </w:r>
      <w:r w:rsidR="00467629" w:rsidRPr="00FF5B75">
        <w:rPr>
          <w:i/>
          <w:sz w:val="28"/>
          <w:szCs w:val="28"/>
        </w:rPr>
        <w:t>повинні зберігатися на піддонах, що встановлюються штабелями, а також на полицях і стелажах</w:t>
      </w:r>
      <w:r w:rsidR="00467629" w:rsidRPr="008F48C0">
        <w:rPr>
          <w:sz w:val="28"/>
          <w:szCs w:val="28"/>
        </w:rPr>
        <w:t>. Ширина проходу між штабелями і стелажами має бути не менше 0,7 м, від них до стін споруди - не менше 0,8 м, а для проїзду навантажувача — 3,0 м.</w:t>
      </w:r>
    </w:p>
    <w:p w:rsidR="00467629" w:rsidRPr="008F48C0" w:rsidRDefault="00467629" w:rsidP="008F4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C0">
        <w:rPr>
          <w:rFonts w:ascii="Times New Roman" w:hAnsi="Times New Roman" w:cs="Times New Roman"/>
          <w:sz w:val="28"/>
          <w:szCs w:val="28"/>
        </w:rPr>
        <w:t xml:space="preserve"> Кількість препаратів, що зберігаються на складі, повинна відповідати тоннажу і не перевищувати реальної потреби. </w:t>
      </w:r>
      <w:r w:rsidRPr="00FF5B75">
        <w:rPr>
          <w:rFonts w:ascii="Times New Roman" w:hAnsi="Times New Roman" w:cs="Times New Roman"/>
          <w:i/>
          <w:sz w:val="28"/>
          <w:szCs w:val="28"/>
        </w:rPr>
        <w:t>Склад повинен мати два приміщення. Одне - для хімікатів, інше - для засобів індивідуального захисту та інвентарю</w:t>
      </w:r>
      <w:r w:rsidRPr="008F48C0">
        <w:rPr>
          <w:rFonts w:ascii="Times New Roman" w:hAnsi="Times New Roman" w:cs="Times New Roman"/>
          <w:sz w:val="28"/>
          <w:szCs w:val="28"/>
        </w:rPr>
        <w:t>, оснащене автономною вентиляцією, умивальником, питною водою, аптечкою.</w:t>
      </w:r>
    </w:p>
    <w:p w:rsidR="00467629" w:rsidRPr="008F48C0" w:rsidRDefault="00467629" w:rsidP="008F4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C0">
        <w:rPr>
          <w:rFonts w:ascii="Times New Roman" w:hAnsi="Times New Roman" w:cs="Times New Roman"/>
          <w:sz w:val="28"/>
          <w:szCs w:val="28"/>
        </w:rPr>
        <w:t xml:space="preserve"> Територія складу повинна бути забезпечена водою для гасіння пожеж, всі приміщення - первинними засобами пожежогасіння, кількість яких залежить від площі і виду речовин, що зберігаються. Розміщення пестицидів на складі здійснюється за принципом однорідності у відповідності з їх фізико-хімічними, </w:t>
      </w:r>
      <w:proofErr w:type="spellStart"/>
      <w:r w:rsidRPr="008F48C0">
        <w:rPr>
          <w:rFonts w:ascii="Times New Roman" w:hAnsi="Times New Roman" w:cs="Times New Roman"/>
          <w:sz w:val="28"/>
          <w:szCs w:val="28"/>
        </w:rPr>
        <w:t>пожежо</w:t>
      </w:r>
      <w:proofErr w:type="spellEnd"/>
      <w:r w:rsidRPr="008F48C0">
        <w:rPr>
          <w:rFonts w:ascii="Times New Roman" w:hAnsi="Times New Roman" w:cs="Times New Roman"/>
          <w:sz w:val="28"/>
          <w:szCs w:val="28"/>
        </w:rPr>
        <w:t xml:space="preserve"> - та вибухонебезпечними якостями, що вказуються у нормативно-технічній документації на кожний препарат.</w:t>
      </w:r>
    </w:p>
    <w:p w:rsidR="00467629" w:rsidRPr="008F48C0" w:rsidRDefault="00467629" w:rsidP="008F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629" w:rsidRPr="008F48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0B1"/>
    <w:multiLevelType w:val="hybridMultilevel"/>
    <w:tmpl w:val="53B01F40"/>
    <w:lvl w:ilvl="0" w:tplc="1A548E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271A5"/>
    <w:multiLevelType w:val="multilevel"/>
    <w:tmpl w:val="087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73CAF"/>
    <w:multiLevelType w:val="hybridMultilevel"/>
    <w:tmpl w:val="ACB2DEC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0"/>
    <w:rsid w:val="000658A4"/>
    <w:rsid w:val="001D20B5"/>
    <w:rsid w:val="00217A3B"/>
    <w:rsid w:val="003E3E7B"/>
    <w:rsid w:val="00467629"/>
    <w:rsid w:val="00485DCA"/>
    <w:rsid w:val="004E6A1A"/>
    <w:rsid w:val="005058E5"/>
    <w:rsid w:val="00574274"/>
    <w:rsid w:val="006A0010"/>
    <w:rsid w:val="006A063C"/>
    <w:rsid w:val="00797AC9"/>
    <w:rsid w:val="008076FA"/>
    <w:rsid w:val="008700E0"/>
    <w:rsid w:val="00870574"/>
    <w:rsid w:val="008F48C0"/>
    <w:rsid w:val="009035CC"/>
    <w:rsid w:val="00A44840"/>
    <w:rsid w:val="00A618A6"/>
    <w:rsid w:val="00B33F92"/>
    <w:rsid w:val="00BA2ADC"/>
    <w:rsid w:val="00C164BA"/>
    <w:rsid w:val="00D054D3"/>
    <w:rsid w:val="00D426CE"/>
    <w:rsid w:val="00D4686B"/>
    <w:rsid w:val="00D66274"/>
    <w:rsid w:val="00DA0B40"/>
    <w:rsid w:val="00E32BFB"/>
    <w:rsid w:val="00F97560"/>
    <w:rsid w:val="00FB5A9B"/>
    <w:rsid w:val="00FC315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3152"/>
    <w:rPr>
      <w:b/>
      <w:bCs/>
    </w:rPr>
  </w:style>
  <w:style w:type="paragraph" w:styleId="a5">
    <w:name w:val="List Paragraph"/>
    <w:basedOn w:val="a"/>
    <w:uiPriority w:val="34"/>
    <w:qFormat/>
    <w:rsid w:val="00A6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3152"/>
    <w:rPr>
      <w:b/>
      <w:bCs/>
    </w:rPr>
  </w:style>
  <w:style w:type="paragraph" w:styleId="a5">
    <w:name w:val="List Paragraph"/>
    <w:basedOn w:val="a"/>
    <w:uiPriority w:val="34"/>
    <w:qFormat/>
    <w:rsid w:val="00A6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8205</Words>
  <Characters>4678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dcterms:created xsi:type="dcterms:W3CDTF">2022-04-27T06:26:00Z</dcterms:created>
  <dcterms:modified xsi:type="dcterms:W3CDTF">2022-04-28T10:33:00Z</dcterms:modified>
</cp:coreProperties>
</file>