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1B00583B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2D1BB520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927CF8">
              <w:rPr>
                <w:sz w:val="28"/>
                <w:szCs w:val="28"/>
                <w:lang w:val="uk-UA" w:eastAsia="en-US"/>
              </w:rPr>
              <w:t xml:space="preserve"> 392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62B800FE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927CF8">
        <w:rPr>
          <w:b/>
          <w:sz w:val="28"/>
          <w:szCs w:val="28"/>
          <w:lang w:val="uk-UA"/>
        </w:rPr>
        <w:t xml:space="preserve">, </w:t>
      </w:r>
    </w:p>
    <w:p w14:paraId="480AFE91" w14:textId="2B8E3CB6" w:rsidR="00927CF8" w:rsidRPr="00927CF8" w:rsidRDefault="00927CF8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 w:rsidRPr="00927CF8">
        <w:rPr>
          <w:b/>
          <w:sz w:val="28"/>
          <w:szCs w:val="28"/>
          <w:lang w:val="uk-UA"/>
        </w:rPr>
        <w:t>Ничипуруку</w:t>
      </w:r>
      <w:proofErr w:type="spellEnd"/>
      <w:r w:rsidRPr="00927CF8">
        <w:rPr>
          <w:b/>
          <w:sz w:val="28"/>
          <w:szCs w:val="28"/>
          <w:lang w:val="uk-UA"/>
        </w:rPr>
        <w:t xml:space="preserve"> А</w:t>
      </w:r>
      <w:r>
        <w:rPr>
          <w:b/>
          <w:sz w:val="28"/>
          <w:szCs w:val="28"/>
          <w:lang w:val="uk-UA"/>
        </w:rPr>
        <w:t>.</w:t>
      </w:r>
      <w:r w:rsidRPr="00927CF8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>.</w:t>
      </w: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4243C61F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953B81">
        <w:rPr>
          <w:sz w:val="28"/>
          <w:szCs w:val="28"/>
          <w:lang w:val="uk-UA"/>
        </w:rPr>
        <w:t>2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0930C365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953B81">
        <w:rPr>
          <w:bCs/>
          <w:sz w:val="28"/>
          <w:szCs w:val="26"/>
          <w:lang w:val="uk-UA"/>
        </w:rPr>
        <w:t>2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bookmarkStart w:id="1" w:name="_Hlk217906072"/>
      <w:proofErr w:type="spellStart"/>
      <w:r w:rsidR="00953B81">
        <w:rPr>
          <w:bCs/>
          <w:sz w:val="28"/>
          <w:szCs w:val="26"/>
          <w:lang w:val="uk-UA"/>
        </w:rPr>
        <w:t>Ничипуруку</w:t>
      </w:r>
      <w:proofErr w:type="spellEnd"/>
      <w:r w:rsidR="00953B81">
        <w:rPr>
          <w:bCs/>
          <w:sz w:val="28"/>
          <w:szCs w:val="26"/>
          <w:lang w:val="uk-UA"/>
        </w:rPr>
        <w:t xml:space="preserve"> Артему Валерійовичу</w:t>
      </w:r>
      <w:bookmarkEnd w:id="1"/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953B81">
        <w:rPr>
          <w:bCs/>
          <w:sz w:val="28"/>
          <w:szCs w:val="26"/>
          <w:lang w:val="uk-UA"/>
        </w:rPr>
        <w:t>24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02</w:t>
      </w:r>
      <w:r w:rsidR="006F55DC" w:rsidRPr="00A66E71">
        <w:rPr>
          <w:bCs/>
          <w:sz w:val="28"/>
          <w:szCs w:val="26"/>
          <w:lang w:val="uk-UA"/>
        </w:rPr>
        <w:t>.19</w:t>
      </w:r>
      <w:r w:rsidR="00953B81">
        <w:rPr>
          <w:bCs/>
          <w:sz w:val="28"/>
          <w:szCs w:val="26"/>
          <w:lang w:val="uk-UA"/>
        </w:rPr>
        <w:t>89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953B81">
        <w:rPr>
          <w:bCs/>
          <w:sz w:val="28"/>
          <w:szCs w:val="26"/>
          <w:lang w:val="uk-UA"/>
        </w:rPr>
        <w:t>3681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1BE4DE9D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927CF8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392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363CF6D7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5BD66CB9" w14:textId="4C15CE26" w:rsidR="00927CF8" w:rsidRDefault="00927CF8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7B925294" w14:textId="3777029C" w:rsidR="00927CF8" w:rsidRDefault="00927CF8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BABE479" w14:textId="3C68F2F0" w:rsidR="00927CF8" w:rsidRDefault="00927CF8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DD51876" w14:textId="77777777" w:rsidR="00927CF8" w:rsidRDefault="00927CF8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bookmarkStart w:id="2" w:name="_Hlk217595471"/>
      <w:bookmarkStart w:id="3" w:name="_Hlk217595432"/>
      <w:r>
        <w:rPr>
          <w:bCs/>
          <w:color w:val="000000"/>
          <w:lang w:val="uk-UA"/>
        </w:rPr>
        <w:t>ЗАТВЕРДЖЕНО</w:t>
      </w:r>
    </w:p>
    <w:p w14:paraId="4A1F271E" w14:textId="672C3ADC" w:rsidR="00156F69" w:rsidRPr="00362B4C" w:rsidRDefault="00156F69" w:rsidP="00927CF8">
      <w:pPr>
        <w:keepNext/>
        <w:tabs>
          <w:tab w:val="left" w:pos="7170"/>
          <w:tab w:val="left" w:pos="7620"/>
        </w:tabs>
        <w:ind w:left="5940" w:firstLine="14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927CF8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4453CC84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927CF8">
        <w:rPr>
          <w:bCs/>
          <w:lang w:val="uk-UA"/>
        </w:rPr>
        <w:t xml:space="preserve"> 392</w:t>
      </w:r>
      <w:bookmarkStart w:id="4" w:name="_GoBack"/>
      <w:bookmarkEnd w:id="4"/>
      <w:r w:rsidRPr="00362B4C">
        <w:rPr>
          <w:bCs/>
          <w:lang w:val="uk-UA"/>
        </w:rPr>
        <w:t xml:space="preserve">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51A85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4A98B7C4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953B81">
        <w:rPr>
          <w:b/>
          <w:bCs/>
          <w:lang w:val="uk-UA"/>
        </w:rPr>
        <w:t>2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077E5F65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95A82" id="Graphic 5" o:spid="_x0000_s1026" style="position:absolute;margin-left:71.6pt;margin-top:13.55pt;width:48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953B81">
        <w:rPr>
          <w:b/>
          <w:bCs/>
          <w:sz w:val="20"/>
          <w:szCs w:val="20"/>
          <w:lang w:val="uk-UA" w:eastAsia="en-US"/>
        </w:rPr>
        <w:t>3681</w:t>
      </w:r>
    </w:p>
    <w:p w14:paraId="45428185" w14:textId="6D17DAF7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5" w:name="_Hlk217595632"/>
      <w:r w:rsidR="000D3941">
        <w:rPr>
          <w:lang w:val="uk-UA"/>
        </w:rPr>
        <w:t>___</w:t>
      </w:r>
      <w:bookmarkEnd w:id="5"/>
      <w:proofErr w:type="spellStart"/>
      <w:r w:rsidR="00953B81">
        <w:rPr>
          <w:b/>
          <w:bCs/>
          <w:u w:val="single"/>
          <w:lang w:val="uk-UA"/>
        </w:rPr>
        <w:t>Ничипуруку</w:t>
      </w:r>
      <w:proofErr w:type="spellEnd"/>
      <w:r w:rsidR="00953B81">
        <w:rPr>
          <w:b/>
          <w:bCs/>
          <w:u w:val="single"/>
          <w:lang w:val="uk-UA"/>
        </w:rPr>
        <w:t xml:space="preserve"> Артему Валерійовичу</w:t>
      </w:r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07B53AA8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proofErr w:type="spellStart"/>
      <w:r w:rsidR="00953B81" w:rsidRPr="00953B81">
        <w:rPr>
          <w:b/>
          <w:bCs/>
          <w:lang w:val="uk-UA"/>
        </w:rPr>
        <w:t>Ничипуруку</w:t>
      </w:r>
      <w:proofErr w:type="spellEnd"/>
      <w:r w:rsidR="00953B81" w:rsidRPr="00953B81">
        <w:rPr>
          <w:b/>
          <w:bCs/>
          <w:lang w:val="uk-UA"/>
        </w:rPr>
        <w:t xml:space="preserve"> Артему Валерійовичу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953B81">
        <w:rPr>
          <w:b/>
          <w:bCs/>
          <w:i/>
          <w:lang w:val="uk-UA"/>
        </w:rPr>
        <w:t>24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02</w:t>
      </w:r>
      <w:r w:rsidR="000D3941" w:rsidRPr="00A66E71">
        <w:rPr>
          <w:b/>
          <w:bCs/>
          <w:i/>
          <w:lang w:val="uk-UA"/>
        </w:rPr>
        <w:t>.19</w:t>
      </w:r>
      <w:r w:rsidR="00953B81">
        <w:rPr>
          <w:b/>
          <w:bCs/>
          <w:i/>
          <w:lang w:val="uk-UA"/>
        </w:rPr>
        <w:t>89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2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6" w:name="_Hlk217591538"/>
    </w:p>
    <w:bookmarkEnd w:id="6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32475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27CF8"/>
    <w:rsid w:val="00953B81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B5C9-9F82-48B4-8F0F-A5A8C9D8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11</cp:revision>
  <cp:lastPrinted>2025-12-29T11:11:00Z</cp:lastPrinted>
  <dcterms:created xsi:type="dcterms:W3CDTF">2025-12-26T11:27:00Z</dcterms:created>
  <dcterms:modified xsi:type="dcterms:W3CDTF">2025-12-29T11:11:00Z</dcterms:modified>
</cp:coreProperties>
</file>