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92" w:rsidRPr="00F05FA2" w:rsidRDefault="00B918DD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</w:t>
      </w:r>
    </w:p>
    <w:p w:rsidR="00E94292" w:rsidRPr="00F05FA2" w:rsidRDefault="00D840E2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</w:t>
      </w:r>
      <w:r w:rsidR="00B9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BE7A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9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позачергової </w:t>
      </w:r>
      <w:r w:rsidR="00E94292" w:rsidRPr="00F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   </w:t>
      </w:r>
    </w:p>
    <w:p w:rsidR="00E94292" w:rsidRDefault="00E94292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Сторожинецької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VIII</w:t>
      </w:r>
      <w:r w:rsidRPr="0081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скликання </w:t>
      </w:r>
    </w:p>
    <w:p w:rsidR="00E94292" w:rsidRPr="007118FD" w:rsidRDefault="00BE7AB0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 лютого 2026</w:t>
      </w:r>
      <w:r w:rsidR="00E94292" w:rsidRPr="00F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9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918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-55/2026</w:t>
      </w: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0E376C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E94292" w:rsidRPr="000E376C" w:rsidRDefault="00E94292" w:rsidP="000E37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3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r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E376C"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B961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РІАЛЬНІЙ ГРОМАДІ НА 20</w:t>
      </w:r>
      <w:r w:rsidR="007772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25 – 2028</w:t>
      </w:r>
      <w:r w:rsidR="000E376C"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РОКИ</w:t>
      </w: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76C" w:rsidRDefault="000E376C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8DD" w:rsidRDefault="00B918DD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FD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Сторожинець</w:t>
      </w: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C8DCA" wp14:editId="5D286D80">
                <wp:simplePos x="0" y="0"/>
                <wp:positionH relativeFrom="column">
                  <wp:posOffset>2970188</wp:posOffset>
                </wp:positionH>
                <wp:positionV relativeFrom="paragraph">
                  <wp:posOffset>289316</wp:posOffset>
                </wp:positionV>
                <wp:extent cx="211015" cy="123092"/>
                <wp:effectExtent l="0" t="0" r="1778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230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33.85pt;margin-top:22.8pt;width:16.6pt;height: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" fillcolor="white [3212]" strokecolor="white [3212]" strokeweight="2pt"/>
            </w:pict>
          </mc:Fallback>
        </mc:AlternateContent>
      </w:r>
      <w:r w:rsidR="000E329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E94292" w:rsidRDefault="006969E1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F6D67B" wp14:editId="6C8F288A">
                <wp:simplePos x="0" y="0"/>
                <wp:positionH relativeFrom="column">
                  <wp:posOffset>2873375</wp:posOffset>
                </wp:positionH>
                <wp:positionV relativeFrom="paragraph">
                  <wp:posOffset>175260</wp:posOffset>
                </wp:positionV>
                <wp:extent cx="498475" cy="297815"/>
                <wp:effectExtent l="0" t="0" r="15875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6.25pt;margin-top:13.8pt;width:39.25pt;height:2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" fillcolor="white [3212]" strokecolor="white [3212]" strokeweight="2pt"/>
            </w:pict>
          </mc:Fallback>
        </mc:AlternateContent>
      </w:r>
    </w:p>
    <w:p w:rsidR="00E94292" w:rsidRPr="00B52289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289">
        <w:rPr>
          <w:rFonts w:ascii="Times New Roman" w:eastAsia="Times New Roman" w:hAnsi="Times New Roman" w:cs="Times New Roman"/>
          <w:sz w:val="28"/>
          <w:szCs w:val="28"/>
        </w:rPr>
        <w:lastRenderedPageBreak/>
        <w:t>ЗМІСТ</w:t>
      </w:r>
    </w:p>
    <w:p w:rsidR="00E94292" w:rsidRPr="00B52289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характеристика Програми ………….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…......3</w:t>
      </w:r>
    </w:p>
    <w:p w:rsidR="00E94292" w:rsidRPr="00B52289" w:rsidRDefault="008B6808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Мета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……………………………………….……..</w:t>
      </w:r>
      <w:r w:rsidR="00E94292"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.4</w:t>
      </w:r>
    </w:p>
    <w:p w:rsidR="00E94292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проблеми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розв'яза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>ння якої спрямована Програми......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……4</w:t>
      </w: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Програми та результативні показники………………………..….5</w:t>
      </w:r>
    </w:p>
    <w:p w:rsidR="00E94292" w:rsidRDefault="008B6808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Фінансово-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ресурсне забезпечення Програми…….…………………………6</w:t>
      </w: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Напря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 діяльності та заходи Програми.……………………..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.....7</w:t>
      </w:r>
    </w:p>
    <w:p w:rsidR="00E94292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управління та контр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олю за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ходом виконання Програми…….....16</w:t>
      </w: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E376C" w:rsidRDefault="00E94292" w:rsidP="00E94292">
      <w:pPr>
        <w:tabs>
          <w:tab w:val="left" w:pos="48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</w:t>
      </w:r>
      <w:r w:rsidR="00963ED1">
        <w:rPr>
          <w:rFonts w:ascii="Times New Roman" w:eastAsia="Times New Roman" w:hAnsi="Times New Roman" w:cs="Times New Roman"/>
          <w:b/>
          <w:bCs/>
          <w:sz w:val="28"/>
          <w:szCs w:val="28"/>
        </w:rPr>
        <w:t>озділ 1. Загальна х</w:t>
      </w:r>
      <w:r w:rsidR="00963ED1" w:rsidRPr="005130DA">
        <w:rPr>
          <w:rFonts w:ascii="Times New Roman" w:eastAsia="Times New Roman" w:hAnsi="Times New Roman" w:cs="Times New Roman"/>
          <w:b/>
          <w:bCs/>
          <w:sz w:val="28"/>
          <w:szCs w:val="28"/>
        </w:rPr>
        <w:t>арактеристика Програми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953"/>
      </w:tblGrid>
      <w:tr w:rsidR="00963ED1" w:rsidRPr="006E5574" w:rsidTr="003F225D">
        <w:trPr>
          <w:trHeight w:hRule="exact" w:val="7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Ініціатор розроблення Програми</w:t>
            </w: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B36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Військово-облікове бюро</w:t>
            </w:r>
          </w:p>
          <w:p w:rsidR="00963ED1" w:rsidRPr="00B52289" w:rsidRDefault="000E376C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Сторожинецької міської ради </w:t>
            </w:r>
          </w:p>
        </w:tc>
      </w:tr>
      <w:tr w:rsidR="00963ED1" w:rsidRPr="006E5574" w:rsidTr="00B918DD">
        <w:trPr>
          <w:trHeight w:hRule="exact" w:val="2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0E376C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Нормативно-правові документи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</w:t>
            </w:r>
            <w:r w:rsidR="00794544">
              <w:rPr>
                <w:rFonts w:ascii="Times New Roman" w:hAnsi="Times New Roman" w:cs="Times New Roman"/>
                <w:sz w:val="28"/>
                <w:szCs w:val="28"/>
              </w:rPr>
              <w:t>с цивільного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ахисту України, </w:t>
            </w:r>
          </w:p>
          <w:p w:rsidR="00963ED1" w:rsidRPr="006E5574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Указ Президента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 від 27 вересня 1999 р.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№1229/99 «Про П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>оложення про технічний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захист інформації в Україні», Н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>аказ Міністерства внутрішніх справ України від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 9 липня 2018 року № 579 «Про затвердження вимог з питань використання та обліку фонду захисних споруд цивільного захисту»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3ED1" w:rsidRPr="006E5574" w:rsidTr="003F225D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Розробник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0E3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Військово-облікове бюро</w:t>
            </w:r>
          </w:p>
          <w:p w:rsidR="00963ED1" w:rsidRPr="00B52289" w:rsidRDefault="000E376C" w:rsidP="000E3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</w:p>
        </w:tc>
      </w:tr>
      <w:tr w:rsidR="00963ED1" w:rsidRPr="006E5574" w:rsidTr="00B918DD">
        <w:trPr>
          <w:trHeight w:hRule="exact" w:val="19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Співрозробник</w:t>
            </w: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61" w:rsidRDefault="00B918DD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ержавна пожежно-рятувальна частина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м. Сторожинець 1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поже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жно-рятувального загону 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>Головного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Державної служби України з надзвичайних ситуацій у Чернівецькій області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(далі – 1 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>ДПРЗ 12 ДПРЧ)</w:t>
            </w:r>
          </w:p>
          <w:p w:rsidR="00777261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261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544" w:rsidRPr="006E5574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Державна пожежно-рятувальна частина № 12</w:t>
            </w:r>
            <w:r w:rsidR="00794544">
              <w:rPr>
                <w:rFonts w:ascii="Times New Roman" w:hAnsi="Times New Roman" w:cs="Times New Roman"/>
                <w:sz w:val="28"/>
                <w:szCs w:val="28"/>
              </w:rPr>
              <w:t xml:space="preserve"> Третього Державного пожежно-рятувального загону Головного управління ДСНС України в Чернівецькій області</w:t>
            </w:r>
          </w:p>
        </w:tc>
      </w:tr>
      <w:tr w:rsidR="00963ED1" w:rsidRPr="006E5574" w:rsidTr="00777261">
        <w:trPr>
          <w:trHeight w:hRule="exact" w:val="1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B14A9" w:rsidRDefault="00794544" w:rsidP="0077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 Головного управління</w:t>
            </w:r>
            <w:r w:rsidR="00777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ДСНС України в Чернівецькій області,</w:t>
            </w:r>
            <w:r w:rsidR="00777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8DD">
              <w:rPr>
                <w:rFonts w:ascii="Times New Roman" w:hAnsi="Times New Roman" w:cs="Times New Roman"/>
                <w:sz w:val="28"/>
                <w:szCs w:val="28"/>
              </w:rPr>
              <w:t>1 ДПРЗ 12 ДПРЧ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Сторожинецька міська рада</w:t>
            </w:r>
          </w:p>
        </w:tc>
      </w:tr>
      <w:tr w:rsidR="00963ED1" w:rsidRPr="006E5574" w:rsidTr="003F225D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  <w:r w:rsidR="00CF3CAB">
              <w:rPr>
                <w:rFonts w:ascii="Times New Roman" w:hAnsi="Times New Roman" w:cs="Times New Roman"/>
                <w:sz w:val="28"/>
                <w:szCs w:val="28"/>
              </w:rPr>
              <w:t xml:space="preserve"> роки </w:t>
            </w:r>
          </w:p>
        </w:tc>
      </w:tr>
      <w:tr w:rsidR="00963ED1" w:rsidRPr="006E5574" w:rsidTr="003F225D">
        <w:trPr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Перелік місцевих бюджетів, які </w:t>
            </w: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приймають участь у виконанні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Default="00CF3CAB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CF3CAB" w:rsidRPr="006E5574" w:rsidRDefault="00CF3CAB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Сторожинецької територіальної громади </w:t>
            </w:r>
          </w:p>
        </w:tc>
      </w:tr>
      <w:tr w:rsidR="00963ED1" w:rsidRPr="006E5574" w:rsidTr="003F225D">
        <w:trPr>
          <w:trHeight w:hRule="exact" w:val="1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Загальний обсяг фінансових ресурсів, </w:t>
            </w:r>
            <w:r w:rsidRPr="006E557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необхідних для реалізації Програми, </w:t>
            </w:r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всього (</w:t>
            </w:r>
            <w:proofErr w:type="spellStart"/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тис.грн</w:t>
            </w:r>
            <w:proofErr w:type="spellEnd"/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36758" w:rsidRDefault="001228C9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37 000,0 </w:t>
            </w:r>
            <w:r w:rsidR="0056395C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963ED1" w:rsidRPr="006E5574" w:rsidTr="003F225D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тому числі бюджетних коштів: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36758" w:rsidRDefault="001228C9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37 000,0 </w:t>
            </w:r>
            <w:r w:rsidR="0056395C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963ED1" w:rsidRPr="006E5574" w:rsidTr="003F225D"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Основні джерела фінансування П</w:t>
            </w:r>
            <w:r w:rsidRPr="006E55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95C" w:rsidRDefault="0056395C" w:rsidP="0056395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963ED1" w:rsidRPr="006E5574" w:rsidRDefault="0056395C" w:rsidP="0056395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Сторожинецької територіальної громади</w:t>
            </w:r>
          </w:p>
        </w:tc>
      </w:tr>
    </w:tbl>
    <w:p w:rsidR="00BF4B27" w:rsidRDefault="00BF4B27" w:rsidP="007945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6B2" w:rsidRDefault="00794544" w:rsidP="005F2C2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Програма 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>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B96140">
        <w:rPr>
          <w:rFonts w:ascii="Times New Roman" w:eastAsia="Times New Roman" w:hAnsi="Times New Roman" w:cs="Times New Roman"/>
          <w:sz w:val="28"/>
          <w:szCs w:val="28"/>
        </w:rPr>
        <w:t>ріальній громаді на 202</w:t>
      </w:r>
      <w:r w:rsidR="00777261">
        <w:rPr>
          <w:rFonts w:ascii="Times New Roman" w:eastAsia="Times New Roman" w:hAnsi="Times New Roman" w:cs="Times New Roman"/>
          <w:sz w:val="28"/>
          <w:szCs w:val="28"/>
        </w:rPr>
        <w:t>5 – 2028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</w:rPr>
        <w:t>, (далі – Програма), розроблена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метою реалізації державної політики у сфері цивільного захисту населення і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lastRenderedPageBreak/>
        <w:t>територій від надзв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>ичайних ситуацій техногенного,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>природного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й воєнного характеру. В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основу якої покладено принцип захисту населення, територій, навколишнього природного середовища та майна від надзвичайних ситуацій, ліквідації наслідків можливих авар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ій та природних стихійних явищ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>спрямованих на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збереження життя та здоров’я жителів Сторожинецької міської територіальної громади.</w:t>
      </w:r>
    </w:p>
    <w:p w:rsidR="00794544" w:rsidRDefault="005F2C2C" w:rsidP="007945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розроблена військово-обліковим бюро Сторожинецької міської ради відповідно до вимог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 xml:space="preserve"> Кодексу цивільного захисту України, розпорядження Президента України від 14.07.2001 року №190/2001-рп «Про невідкладні заходи щодо запобігання загибелі людей на водних об’єктах», постанов Кабінету Міністрів України від 30.09.2015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19.08.2002 року №1200 (із змінами)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«Про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контролю», від 10.03.2017 року №138 «Деякі питання використання захисних споруд цивільного захисту», Указу Президента України від 27.09.1999 року №1229/99 «Про Положення про технічний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захист інформації в Україні», Н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аказу Міністерства внутрішніх справ України від 09.07.2018 року №579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«Про затвердження вимог з питань використання та обліку фонду захисних споруд цивільного захисту».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FE5" w:rsidRPr="00665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423C" w:rsidRDefault="00E5423C" w:rsidP="005F2C2C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A7D" w:rsidRDefault="00811D48" w:rsidP="0022477B">
      <w:pPr>
        <w:tabs>
          <w:tab w:val="left" w:pos="709"/>
        </w:tabs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1D48">
        <w:rPr>
          <w:rFonts w:ascii="Times New Roman" w:hAnsi="Times New Roman"/>
          <w:b/>
          <w:sz w:val="28"/>
          <w:szCs w:val="28"/>
        </w:rPr>
        <w:t xml:space="preserve">Розділ 2. Мета Програми </w:t>
      </w:r>
    </w:p>
    <w:p w:rsidR="009136B2" w:rsidRDefault="009136B2" w:rsidP="009136B2">
      <w:pPr>
        <w:pStyle w:val="ae"/>
        <w:ind w:firstLine="709"/>
        <w:jc w:val="both"/>
        <w:rPr>
          <w:bCs/>
          <w:szCs w:val="28"/>
        </w:rPr>
      </w:pPr>
      <w:r>
        <w:rPr>
          <w:bCs/>
          <w:szCs w:val="28"/>
        </w:rPr>
        <w:t>Метою Програми є захист населення і територій від наслідків надз</w:t>
      </w:r>
      <w:r w:rsidR="005F2C2C">
        <w:rPr>
          <w:bCs/>
          <w:szCs w:val="28"/>
        </w:rPr>
        <w:t>вичайних ситуацій техногенного,</w:t>
      </w:r>
      <w:r>
        <w:rPr>
          <w:bCs/>
          <w:szCs w:val="28"/>
        </w:rPr>
        <w:t xml:space="preserve"> природного </w:t>
      </w:r>
      <w:r w:rsidR="005F2C2C">
        <w:rPr>
          <w:bCs/>
          <w:szCs w:val="28"/>
        </w:rPr>
        <w:t xml:space="preserve">й воєнного </w:t>
      </w:r>
      <w:r>
        <w:rPr>
          <w:bCs/>
          <w:szCs w:val="28"/>
        </w:rPr>
        <w:t>характеру, ефективне функціонування територіальної підсистеми єдиної державної системи цивільного захисту, проведення аварійно-рятувальних та інших невідкладних робіт, послідовне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ситуацій.</w:t>
      </w:r>
    </w:p>
    <w:p w:rsidR="0022477B" w:rsidRPr="0022477B" w:rsidRDefault="0022477B" w:rsidP="005F2C2C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Default="0022477B" w:rsidP="0022477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3. Визначення проблем, на розв'язання яких                                 спрямована Програма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>Забезпечення реалізації державної політики у сфері цивільного захисту здійснюється єдиною державною системою цивільного захисту, складовою якої є територіальна підсистема та її ланки.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 xml:space="preserve">Згідно зі статтею 3 Конституції України життя та здоров’я людини, її безпека є найвищими соціальними цінностями, про забезпечення яких держава відповідає перед нею. Безпека населення і територій, їх захищеність від впливу шкідливих техногенних, природних та екологічних факторів є неодмінною умовою сталого розвитку суспільства. 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>Запобігання виникненню надзв</w:t>
      </w:r>
      <w:r>
        <w:rPr>
          <w:rFonts w:ascii="Times New Roman" w:hAnsi="Times New Roman" w:cs="Times New Roman"/>
          <w:sz w:val="28"/>
          <w:szCs w:val="28"/>
        </w:rPr>
        <w:t>ичайних ситуацій техногенного,</w:t>
      </w:r>
      <w:r w:rsidRPr="005F2C2C">
        <w:rPr>
          <w:rFonts w:ascii="Times New Roman" w:hAnsi="Times New Roman" w:cs="Times New Roman"/>
          <w:sz w:val="28"/>
          <w:szCs w:val="28"/>
        </w:rPr>
        <w:t xml:space="preserve"> природного</w:t>
      </w:r>
      <w:r>
        <w:rPr>
          <w:rFonts w:ascii="Times New Roman" w:hAnsi="Times New Roman" w:cs="Times New Roman"/>
          <w:sz w:val="28"/>
          <w:szCs w:val="28"/>
        </w:rPr>
        <w:t xml:space="preserve"> й воєнного</w:t>
      </w:r>
      <w:r w:rsidRPr="005F2C2C">
        <w:rPr>
          <w:rFonts w:ascii="Times New Roman" w:hAnsi="Times New Roman" w:cs="Times New Roman"/>
          <w:sz w:val="28"/>
          <w:szCs w:val="28"/>
        </w:rPr>
        <w:t xml:space="preserve"> характеру, зменшення збитків і втрат у разі їх </w:t>
      </w:r>
      <w:r w:rsidRPr="005F2C2C">
        <w:rPr>
          <w:rFonts w:ascii="Times New Roman" w:hAnsi="Times New Roman" w:cs="Times New Roman"/>
          <w:sz w:val="28"/>
          <w:szCs w:val="28"/>
        </w:rPr>
        <w:lastRenderedPageBreak/>
        <w:t>виникнення, ефективна ліквідація наслідків надзвичайних ситуацій є одним з пріоритетів діяльності органів</w:t>
      </w:r>
      <w:r w:rsidR="00777261">
        <w:rPr>
          <w:rFonts w:ascii="Times New Roman" w:hAnsi="Times New Roman" w:cs="Times New Roman"/>
          <w:sz w:val="28"/>
          <w:szCs w:val="28"/>
        </w:rPr>
        <w:t xml:space="preserve"> влади</w:t>
      </w:r>
      <w:r w:rsidRPr="005F2C2C">
        <w:rPr>
          <w:rFonts w:ascii="Times New Roman" w:hAnsi="Times New Roman" w:cs="Times New Roman"/>
          <w:sz w:val="28"/>
          <w:szCs w:val="28"/>
        </w:rPr>
        <w:t>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Для попередження або ліквідації наслідків надзвичайних ситуацій, надання допомоги постраждалому населенню, проведення невідкладних відновлювальних робіт</w:t>
      </w:r>
      <w:r>
        <w:rPr>
          <w:bCs/>
          <w:szCs w:val="28"/>
        </w:rPr>
        <w:t>,</w:t>
      </w:r>
      <w:r w:rsidRPr="005F2C2C">
        <w:rPr>
          <w:bCs/>
          <w:szCs w:val="28"/>
        </w:rPr>
        <w:t xml:space="preserve"> особливого значення набуває наявність матеріальних резервів, який потребує поповнення відповідно до затвердженої номенклатури матеріальних цінностей.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З метою забезпечення захисту здоров’я громадян, зменшення матеріальних втрат та недопущення шкоди підприємствам, установам і організаціям, матеріальним і культурним цінностям, довкіллю у разі загрози або виникнення надзвичайних ситуацій проводиться оповіщення та інфо</w:t>
      </w:r>
      <w:r w:rsidR="00F62809">
        <w:rPr>
          <w:bCs/>
          <w:szCs w:val="28"/>
        </w:rPr>
        <w:t>рмування населення. У зв’язку зі</w:t>
      </w:r>
      <w:r w:rsidRPr="005F2C2C">
        <w:rPr>
          <w:bCs/>
          <w:szCs w:val="28"/>
        </w:rPr>
        <w:t xml:space="preserve"> створенням державної автоматизованої системи централізованого оповіщення, необхідним є створення її </w:t>
      </w:r>
      <w:r w:rsidR="00F62809">
        <w:rPr>
          <w:bCs/>
          <w:szCs w:val="28"/>
        </w:rPr>
        <w:t>територіального сегмента</w:t>
      </w:r>
      <w:r w:rsidRPr="005F2C2C">
        <w:rPr>
          <w:bCs/>
          <w:szCs w:val="28"/>
        </w:rPr>
        <w:t>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Для захисту населення від наслідків техногенних аварій, а також під час застосування зброї масового знищення в особливий період створено фонд захисних споруд. Разом з тим, існує необхідність забезпечення фінансування з заходів, спрямованих на утримання захисних споруд цивільного захисту державної та комунальної форми власності в готовності до використання за призначенням.</w:t>
      </w:r>
    </w:p>
    <w:p w:rsidR="005F2C2C" w:rsidRPr="005F2C2C" w:rsidRDefault="005F2C2C" w:rsidP="005F2C2C">
      <w:pPr>
        <w:tabs>
          <w:tab w:val="left" w:pos="43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C2C">
        <w:rPr>
          <w:rFonts w:ascii="Times New Roman" w:hAnsi="Times New Roman" w:cs="Times New Roman"/>
          <w:bCs/>
          <w:sz w:val="28"/>
          <w:szCs w:val="28"/>
        </w:rPr>
        <w:t>Створення центрів безпеки громадян, що дасть змогу у найкоротші терміни реагувати на ситуацію, яка склалася, а відтак  врятувати людські життя та майно.</w:t>
      </w:r>
    </w:p>
    <w:p w:rsidR="0022477B" w:rsidRDefault="0022477B" w:rsidP="00F628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Default="0022477B" w:rsidP="0022477B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4. Завдання Програми та результативні показники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Головні завдання Програми спрямовані на розвиток цивільного захисту, забезпечення пожежної безпеки, запобігання і реагування на надзвичайні ситуації, вдосконалення і підтримку аварійно-рятувальної служби, створення правових, організаційно-економічних умов для їх розвитку, формування механізму регулювання та координації</w:t>
      </w:r>
      <w:r w:rsidR="00922AFC">
        <w:rPr>
          <w:rFonts w:ascii="Times New Roman" w:hAnsi="Times New Roman"/>
          <w:sz w:val="28"/>
          <w:szCs w:val="28"/>
        </w:rPr>
        <w:t xml:space="preserve"> дій</w:t>
      </w:r>
      <w:r w:rsidRPr="00F62809">
        <w:rPr>
          <w:rFonts w:ascii="Times New Roman" w:hAnsi="Times New Roman"/>
          <w:sz w:val="28"/>
          <w:szCs w:val="28"/>
        </w:rPr>
        <w:t>, які б сприяли: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забезпеченню належного рівня безпеки населення і захисту терит</w:t>
      </w:r>
      <w:r w:rsidR="00922AFC">
        <w:rPr>
          <w:rFonts w:ascii="Times New Roman" w:hAnsi="Times New Roman"/>
          <w:sz w:val="28"/>
          <w:szCs w:val="28"/>
        </w:rPr>
        <w:t>орій громади</w:t>
      </w:r>
      <w:r w:rsidRPr="00F62809">
        <w:rPr>
          <w:rFonts w:ascii="Times New Roman" w:hAnsi="Times New Roman"/>
          <w:sz w:val="28"/>
          <w:szCs w:val="28"/>
        </w:rPr>
        <w:t>, об'єктів підвищеної небезпеки від загрози виникнення надзви</w:t>
      </w:r>
      <w:r w:rsidR="00922AFC">
        <w:rPr>
          <w:rFonts w:ascii="Times New Roman" w:hAnsi="Times New Roman"/>
          <w:sz w:val="28"/>
          <w:szCs w:val="28"/>
        </w:rPr>
        <w:t xml:space="preserve">чайних ситуацій техногенного, </w:t>
      </w:r>
      <w:r w:rsidRPr="00F62809">
        <w:rPr>
          <w:rFonts w:ascii="Times New Roman" w:hAnsi="Times New Roman"/>
          <w:sz w:val="28"/>
          <w:szCs w:val="28"/>
        </w:rPr>
        <w:t>природного</w:t>
      </w:r>
      <w:r w:rsidR="00922AFC">
        <w:rPr>
          <w:rFonts w:ascii="Times New Roman" w:hAnsi="Times New Roman"/>
          <w:sz w:val="28"/>
          <w:szCs w:val="28"/>
        </w:rPr>
        <w:t xml:space="preserve"> й воєнного</w:t>
      </w:r>
      <w:r w:rsidRPr="00F62809">
        <w:rPr>
          <w:rFonts w:ascii="Times New Roman" w:hAnsi="Times New Roman"/>
          <w:sz w:val="28"/>
          <w:szCs w:val="28"/>
        </w:rPr>
        <w:t xml:space="preserve"> характеру;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 xml:space="preserve">- підвищенню ефективності функціонування сил цивільного захисту та системи моніторингу, прогнозування і запобігання надзвичайним ситуаціям;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 xml:space="preserve">- зменшенню ризику виникнення надзвичайних ситуацій, пожеж  та досягнення гарантованого рівня захисту населення і територій від їх наслідків;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зменшенню кількості постраждалого населення та загиблих людей від надзвичайних ситуацій;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організації забезпечення профілактики загибелі людей та виникнення</w:t>
      </w:r>
      <w:r w:rsidR="00922AFC">
        <w:rPr>
          <w:rFonts w:ascii="Times New Roman" w:hAnsi="Times New Roman"/>
          <w:sz w:val="28"/>
          <w:szCs w:val="28"/>
        </w:rPr>
        <w:t xml:space="preserve"> надзвичайних ситуацій та пожеж</w:t>
      </w:r>
      <w:r w:rsidRPr="00F62809">
        <w:rPr>
          <w:rFonts w:ascii="Times New Roman" w:hAnsi="Times New Roman"/>
          <w:sz w:val="28"/>
          <w:szCs w:val="28"/>
        </w:rPr>
        <w:t>;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рятуванню людей, проведенню пожежно-рятувальних,  аварійно-рятувальних робіт та інших заходів;</w:t>
      </w:r>
    </w:p>
    <w:p w:rsidR="00F62809" w:rsidRPr="00F62809" w:rsidRDefault="00922AFC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2809" w:rsidRPr="00F62809">
        <w:rPr>
          <w:rFonts w:ascii="Times New Roman" w:hAnsi="Times New Roman"/>
          <w:sz w:val="28"/>
          <w:szCs w:val="28"/>
        </w:rPr>
        <w:t>підвищенню рівня готовності пожежно-рятувальних підрозділів та аварійно-рятувальних служб.</w:t>
      </w:r>
    </w:p>
    <w:p w:rsidR="00922AFC" w:rsidRDefault="00922AFC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Реалізація основних завдань Програми дасть змогу захистити населення і терит</w:t>
      </w:r>
      <w:r w:rsidR="00922AFC">
        <w:rPr>
          <w:rFonts w:ascii="Times New Roman" w:hAnsi="Times New Roman"/>
          <w:sz w:val="28"/>
          <w:szCs w:val="28"/>
        </w:rPr>
        <w:t>орію громади</w:t>
      </w:r>
      <w:r w:rsidRPr="00F62809">
        <w:rPr>
          <w:rFonts w:ascii="Times New Roman" w:hAnsi="Times New Roman"/>
          <w:sz w:val="28"/>
          <w:szCs w:val="28"/>
        </w:rPr>
        <w:t>, запобігти виникненню надзвичайних ситуацій та подій, підвищити рівень готовності пожежно-рятувальних та аварійно-рятувальних служб до дій за призначенням, мінімізувати наслідки надзвичайних ситуацій та пожеж, покращити стан техногенної безпеки об’єктів, терміново реагувати на надзв</w:t>
      </w:r>
      <w:r w:rsidR="00922AFC">
        <w:rPr>
          <w:rFonts w:ascii="Times New Roman" w:hAnsi="Times New Roman"/>
          <w:sz w:val="28"/>
          <w:szCs w:val="28"/>
        </w:rPr>
        <w:t xml:space="preserve">ичайні ситуації техногенного, </w:t>
      </w:r>
      <w:r w:rsidRPr="00F62809">
        <w:rPr>
          <w:rFonts w:ascii="Times New Roman" w:hAnsi="Times New Roman"/>
          <w:sz w:val="28"/>
          <w:szCs w:val="28"/>
        </w:rPr>
        <w:t>природного</w:t>
      </w:r>
      <w:r w:rsidR="00922AFC">
        <w:rPr>
          <w:rFonts w:ascii="Times New Roman" w:hAnsi="Times New Roman"/>
          <w:sz w:val="28"/>
          <w:szCs w:val="28"/>
        </w:rPr>
        <w:t xml:space="preserve"> й воєнного</w:t>
      </w:r>
      <w:r w:rsidRPr="00F62809">
        <w:rPr>
          <w:rFonts w:ascii="Times New Roman" w:hAnsi="Times New Roman"/>
          <w:sz w:val="28"/>
          <w:szCs w:val="28"/>
        </w:rPr>
        <w:t xml:space="preserve"> характеру, проводити аварійно-рятувальні та відновлювальні роботи, захищати навколишнє природне середовище та </w:t>
      </w:r>
      <w:proofErr w:type="spellStart"/>
      <w:r w:rsidRPr="00F62809">
        <w:rPr>
          <w:rFonts w:ascii="Times New Roman" w:hAnsi="Times New Roman"/>
          <w:sz w:val="28"/>
          <w:szCs w:val="28"/>
        </w:rPr>
        <w:t>локалізовувати</w:t>
      </w:r>
      <w:proofErr w:type="spellEnd"/>
      <w:r w:rsidRPr="00F62809">
        <w:rPr>
          <w:rFonts w:ascii="Times New Roman" w:hAnsi="Times New Roman"/>
          <w:sz w:val="28"/>
          <w:szCs w:val="28"/>
        </w:rPr>
        <w:t xml:space="preserve"> зони впливу шкідливих і небезпечних факторів, що виникають під час аварій та катастроф.</w:t>
      </w:r>
    </w:p>
    <w:p w:rsidR="00F62809" w:rsidRDefault="00F62809" w:rsidP="002247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Pr="00AF4D8D" w:rsidRDefault="0022477B" w:rsidP="0022477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5373">
        <w:rPr>
          <w:rFonts w:ascii="Times New Roman" w:hAnsi="Times New Roman"/>
          <w:b/>
          <w:sz w:val="28"/>
          <w:szCs w:val="28"/>
        </w:rPr>
        <w:t>Розділ 5. Фінансово-ресурсне забезпечення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1199"/>
        <w:gridCol w:w="1275"/>
        <w:gridCol w:w="1276"/>
        <w:gridCol w:w="1319"/>
        <w:gridCol w:w="1481"/>
      </w:tblGrid>
      <w:tr w:rsidR="00777261" w:rsidRPr="00593921" w:rsidTr="00777261">
        <w:trPr>
          <w:jc w:val="center"/>
        </w:trPr>
        <w:tc>
          <w:tcPr>
            <w:tcW w:w="3304" w:type="dxa"/>
            <w:vMerge w:val="restart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Джерела фінансування</w:t>
            </w:r>
          </w:p>
        </w:tc>
        <w:tc>
          <w:tcPr>
            <w:tcW w:w="5069" w:type="dxa"/>
            <w:gridSpan w:val="4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Орієнтовний обсяг коштів, які залучаються на виконання Програми,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тис. грн.</w:t>
            </w:r>
          </w:p>
        </w:tc>
        <w:tc>
          <w:tcPr>
            <w:tcW w:w="1481" w:type="dxa"/>
            <w:vMerge w:val="restart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Всього на виконання Програми,              тис. грн.</w:t>
            </w: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Merge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9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р.</w:t>
            </w:r>
          </w:p>
        </w:tc>
        <w:tc>
          <w:tcPr>
            <w:tcW w:w="1275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276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319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481" w:type="dxa"/>
            <w:vMerge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22A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99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9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1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Міський бюджет Сторожинецької територіальної громади</w:t>
            </w:r>
          </w:p>
        </w:tc>
        <w:tc>
          <w:tcPr>
            <w:tcW w:w="1199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10200,0</w:t>
            </w:r>
          </w:p>
        </w:tc>
        <w:tc>
          <w:tcPr>
            <w:tcW w:w="1275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10100,0</w:t>
            </w:r>
          </w:p>
        </w:tc>
        <w:tc>
          <w:tcPr>
            <w:tcW w:w="1276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8900,0</w:t>
            </w:r>
          </w:p>
        </w:tc>
        <w:tc>
          <w:tcPr>
            <w:tcW w:w="1319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7800,0</w:t>
            </w:r>
          </w:p>
        </w:tc>
        <w:tc>
          <w:tcPr>
            <w:tcW w:w="1481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37 000,0</w:t>
            </w:r>
          </w:p>
        </w:tc>
      </w:tr>
      <w:tr w:rsidR="007272EF" w:rsidRPr="00593921" w:rsidTr="00777261">
        <w:trPr>
          <w:jc w:val="center"/>
        </w:trPr>
        <w:tc>
          <w:tcPr>
            <w:tcW w:w="3304" w:type="dxa"/>
            <w:vAlign w:val="center"/>
          </w:tcPr>
          <w:p w:rsidR="007272EF" w:rsidRPr="00593921" w:rsidRDefault="007272EF" w:rsidP="007272EF">
            <w:pPr>
              <w:contextualSpacing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b/>
                <w:sz w:val="27"/>
                <w:szCs w:val="27"/>
              </w:rPr>
              <w:t>Всього:</w:t>
            </w:r>
          </w:p>
        </w:tc>
        <w:tc>
          <w:tcPr>
            <w:tcW w:w="1199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10200,0</w:t>
            </w:r>
          </w:p>
        </w:tc>
        <w:tc>
          <w:tcPr>
            <w:tcW w:w="1275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10100,0</w:t>
            </w:r>
          </w:p>
        </w:tc>
        <w:tc>
          <w:tcPr>
            <w:tcW w:w="1276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8900,0</w:t>
            </w:r>
          </w:p>
        </w:tc>
        <w:tc>
          <w:tcPr>
            <w:tcW w:w="1319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7800,0</w:t>
            </w:r>
          </w:p>
        </w:tc>
        <w:tc>
          <w:tcPr>
            <w:tcW w:w="1481" w:type="dxa"/>
            <w:vAlign w:val="center"/>
          </w:tcPr>
          <w:p w:rsidR="007272EF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37 000,0</w:t>
            </w:r>
          </w:p>
        </w:tc>
      </w:tr>
    </w:tbl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 xml:space="preserve"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 </w:t>
      </w:r>
    </w:p>
    <w:p w:rsidR="0022477B" w:rsidRPr="00593921" w:rsidRDefault="00593921" w:rsidP="00593921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B00F8" w:rsidRDefault="005B00F8" w:rsidP="005B00F8">
      <w:pPr>
        <w:tabs>
          <w:tab w:val="left" w:pos="709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00F8" w:rsidSect="00E94292">
          <w:footerReference w:type="default" r:id="rId9"/>
          <w:footerReference w:type="first" r:id="rId10"/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6F49D1" w:rsidRDefault="00BE4597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6</w:t>
      </w:r>
      <w:r w:rsidR="00C75E16" w:rsidRPr="00983349">
        <w:rPr>
          <w:rFonts w:ascii="Times New Roman" w:eastAsia="Times New Roman" w:hAnsi="Times New Roman" w:cs="Times New Roman"/>
          <w:b/>
          <w:sz w:val="28"/>
          <w:szCs w:val="28"/>
        </w:rPr>
        <w:t>. Напря</w:t>
      </w:r>
      <w:r w:rsidR="006F49D1">
        <w:rPr>
          <w:rFonts w:ascii="Times New Roman" w:eastAsia="Times New Roman" w:hAnsi="Times New Roman" w:cs="Times New Roman"/>
          <w:b/>
          <w:sz w:val="28"/>
          <w:szCs w:val="28"/>
        </w:rPr>
        <w:t>ми діяльності та</w:t>
      </w:r>
      <w:r w:rsidR="00C75E16" w:rsidRPr="00983349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заходи Програми</w:t>
      </w:r>
    </w:p>
    <w:tbl>
      <w:tblPr>
        <w:tblStyle w:val="ab"/>
        <w:tblW w:w="14559" w:type="dxa"/>
        <w:tblLayout w:type="fixed"/>
        <w:tblLook w:val="0620" w:firstRow="1" w:lastRow="0" w:firstColumn="0" w:lastColumn="0" w:noHBand="1" w:noVBand="1"/>
      </w:tblPr>
      <w:tblGrid>
        <w:gridCol w:w="534"/>
        <w:gridCol w:w="1559"/>
        <w:gridCol w:w="2551"/>
        <w:gridCol w:w="1701"/>
        <w:gridCol w:w="1843"/>
        <w:gridCol w:w="1276"/>
        <w:gridCol w:w="850"/>
        <w:gridCol w:w="851"/>
        <w:gridCol w:w="850"/>
        <w:gridCol w:w="839"/>
        <w:gridCol w:w="1705"/>
      </w:tblGrid>
      <w:tr w:rsidR="00777261" w:rsidRPr="00777261" w:rsidTr="007940BC">
        <w:trPr>
          <w:cantSplit/>
          <w:trHeight w:val="492"/>
          <w:tblHeader/>
        </w:trPr>
        <w:tc>
          <w:tcPr>
            <w:tcW w:w="534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Перелік заходів Програми </w:t>
            </w:r>
          </w:p>
        </w:tc>
        <w:tc>
          <w:tcPr>
            <w:tcW w:w="1701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666" w:type="dxa"/>
            <w:gridSpan w:val="5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Орієнтовані обсяги фінансування (вартість)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105E57">
              <w:rPr>
                <w:rFonts w:ascii="Times New Roman" w:hAnsi="Times New Roman" w:cs="Times New Roman"/>
                <w:b/>
              </w:rPr>
              <w:t xml:space="preserve"> на 2025-2028 роки</w:t>
            </w:r>
            <w:r w:rsidRPr="00777261">
              <w:rPr>
                <w:rFonts w:ascii="Times New Roman" w:hAnsi="Times New Roman" w:cs="Times New Roman"/>
                <w:b/>
              </w:rPr>
              <w:t>, тис. грн.</w:t>
            </w:r>
          </w:p>
        </w:tc>
        <w:tc>
          <w:tcPr>
            <w:tcW w:w="1705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Очікуваний результат</w:t>
            </w:r>
          </w:p>
        </w:tc>
      </w:tr>
      <w:tr w:rsidR="007940BC" w:rsidRPr="00777261" w:rsidTr="007940BC">
        <w:trPr>
          <w:cantSplit/>
          <w:trHeight w:val="1134"/>
          <w:tblHeader/>
        </w:trPr>
        <w:tc>
          <w:tcPr>
            <w:tcW w:w="534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850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2025р.</w:t>
            </w:r>
          </w:p>
        </w:tc>
        <w:tc>
          <w:tcPr>
            <w:tcW w:w="851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2026 р.</w:t>
            </w:r>
          </w:p>
        </w:tc>
        <w:tc>
          <w:tcPr>
            <w:tcW w:w="850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2027 р.</w:t>
            </w:r>
          </w:p>
        </w:tc>
        <w:tc>
          <w:tcPr>
            <w:tcW w:w="839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2028 р. </w:t>
            </w:r>
          </w:p>
        </w:tc>
        <w:tc>
          <w:tcPr>
            <w:tcW w:w="1705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39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5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vAlign w:val="center"/>
          </w:tcPr>
          <w:p w:rsidR="00777261" w:rsidRPr="00777261" w:rsidRDefault="00777261" w:rsidP="007940B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Організаційні заходи забезпечення профілактики і ліквідації наслідків надзвичайних ситуацій і подій, в т.ч. пожеж</w:t>
            </w: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777261" w:rsidRPr="00777261">
              <w:rPr>
                <w:rFonts w:ascii="Times New Roman" w:eastAsia="Times New Roman" w:hAnsi="Times New Roman" w:cs="Times New Roman"/>
              </w:rPr>
              <w:t xml:space="preserve">Проведення моніторингу стану забезпечення пожежної та техногенної безпеки, відпрацювання об’єктів </w:t>
            </w:r>
            <w:proofErr w:type="spellStart"/>
            <w:r w:rsidR="00777261" w:rsidRPr="00777261">
              <w:rPr>
                <w:rFonts w:ascii="Times New Roman" w:eastAsia="Times New Roman" w:hAnsi="Times New Roman" w:cs="Times New Roman"/>
              </w:rPr>
              <w:t>народно-господарського</w:t>
            </w:r>
            <w:proofErr w:type="spellEnd"/>
            <w:r w:rsidR="00777261" w:rsidRPr="00777261">
              <w:rPr>
                <w:rFonts w:ascii="Times New Roman" w:eastAsia="Times New Roman" w:hAnsi="Times New Roman" w:cs="Times New Roman"/>
              </w:rPr>
              <w:t xml:space="preserve"> комплексу громади</w:t>
            </w:r>
            <w:r>
              <w:rPr>
                <w:rFonts w:ascii="Times New Roman" w:eastAsia="Times New Roman" w:hAnsi="Times New Roman" w:cs="Times New Roman"/>
              </w:rPr>
              <w:t xml:space="preserve"> незалежно від форм власності.</w:t>
            </w:r>
          </w:p>
          <w:p w:rsidR="00777261" w:rsidRDefault="00777261" w:rsidP="007940BC">
            <w:pPr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2. Здійснення контролю за дотриманням правил користування водними об’єктами, проведення інвентаризації місць масового відпочинку населення  на воді. </w:t>
            </w:r>
          </w:p>
          <w:p w:rsidR="007940BC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Проведення інвентаризації захисних споруд цивільного захисту (цивільної оборони) та здійснен</w:t>
            </w:r>
            <w:r>
              <w:rPr>
                <w:rFonts w:ascii="Times New Roman" w:eastAsia="Times New Roman" w:hAnsi="Times New Roman" w:cs="Times New Roman"/>
              </w:rPr>
              <w:t>ня контролю за їх використанням.</w:t>
            </w:r>
          </w:p>
          <w:p w:rsidR="007940BC" w:rsidRPr="00777261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4. Проведення моніторингу зсу</w:t>
            </w:r>
            <w:r>
              <w:rPr>
                <w:rFonts w:ascii="Times New Roman" w:eastAsia="Times New Roman" w:hAnsi="Times New Roman" w:cs="Times New Roman"/>
              </w:rPr>
              <w:t>вонебезпечних територій громади.</w:t>
            </w:r>
          </w:p>
        </w:tc>
        <w:tc>
          <w:tcPr>
            <w:tcW w:w="1701" w:type="dxa"/>
            <w:vAlign w:val="center"/>
          </w:tcPr>
          <w:p w:rsidR="00777261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 w:rsidRPr="00B918DD">
              <w:rPr>
                <w:rFonts w:ascii="Times New Roman" w:hAnsi="Times New Roman" w:cs="Times New Roman"/>
              </w:rPr>
              <w:t xml:space="preserve">1 ДПРЗ 12 ДПРЧ </w:t>
            </w:r>
            <w:r w:rsidR="00777261" w:rsidRPr="00777261">
              <w:rPr>
                <w:rFonts w:ascii="Times New Roman" w:hAnsi="Times New Roman" w:cs="Times New Roman"/>
              </w:rPr>
              <w:t xml:space="preserve">ГУ </w:t>
            </w:r>
            <w:r w:rsidR="007940BC">
              <w:rPr>
                <w:rFonts w:ascii="Times New Roman" w:hAnsi="Times New Roman" w:cs="Times New Roman"/>
              </w:rPr>
              <w:t>ДСНС України в Черніве</w:t>
            </w:r>
            <w:r w:rsidR="00777261" w:rsidRPr="00777261">
              <w:rPr>
                <w:rFonts w:ascii="Times New Roman" w:hAnsi="Times New Roman" w:cs="Times New Roman"/>
              </w:rPr>
              <w:t>цькій області,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777261" w:rsidRPr="00777261" w:rsidRDefault="007940BC" w:rsidP="00794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777261" w:rsidRPr="007940BC" w:rsidRDefault="00B56626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7940BC" w:rsidRPr="007940BC">
              <w:rPr>
                <w:rFonts w:ascii="Times New Roman" w:hAnsi="Times New Roman" w:cs="Times New Roman"/>
                <w:b/>
              </w:rPr>
              <w:t>00,0</w:t>
            </w:r>
          </w:p>
        </w:tc>
        <w:tc>
          <w:tcPr>
            <w:tcW w:w="850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40B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40BC">
              <w:rPr>
                <w:rFonts w:ascii="Times New Roman" w:hAnsi="Times New Roman" w:cs="Times New Roman"/>
              </w:rPr>
              <w:t>5</w:t>
            </w:r>
            <w:r w:rsidR="00777261" w:rsidRPr="007772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40BC">
              <w:rPr>
                <w:rFonts w:ascii="Times New Roman" w:hAnsi="Times New Roman" w:cs="Times New Roman"/>
              </w:rPr>
              <w:t>0</w:t>
            </w:r>
            <w:r w:rsidR="00777261" w:rsidRPr="007772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9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7261" w:rsidRPr="0077726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Покращення стану пожежної та техногенної безпеки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 xml:space="preserve">Зменшення кількості пожеж, НС та подій 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Зменшення кількості потерпілих внаслідок НС та подій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5. Проведення навчань з протипожежного мінімуму та цивільного захисту для керівників підприємств, установ, організацій незалежно від форм власності. </w:t>
            </w:r>
          </w:p>
          <w:p w:rsidR="00B56626" w:rsidRDefault="00777261" w:rsidP="00E22A5B">
            <w:pPr>
              <w:tabs>
                <w:tab w:val="left" w:pos="960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6. Надання допомоги малозабезпеченим верствам населення в облаштуванні їх безпечного побуту. </w:t>
            </w:r>
          </w:p>
          <w:p w:rsidR="00B56626" w:rsidRPr="00777261" w:rsidRDefault="00777261" w:rsidP="00B5662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 </w:t>
            </w:r>
            <w:r w:rsidR="00B56626" w:rsidRPr="00777261">
              <w:rPr>
                <w:rFonts w:ascii="Times New Roman" w:eastAsia="Times New Roman" w:hAnsi="Times New Roman" w:cs="Times New Roman"/>
              </w:rPr>
              <w:t xml:space="preserve">7. Виховання населення, популяризація серед дітей і молоді безпечних умов діяльності, та підготовка їх до дій в умовах надзвичайних ситуацій і подій шляхом проведення щорічних </w:t>
            </w:r>
            <w:proofErr w:type="spellStart"/>
            <w:r w:rsidR="00B56626" w:rsidRPr="00777261">
              <w:rPr>
                <w:rFonts w:ascii="Times New Roman" w:eastAsia="Times New Roman" w:hAnsi="Times New Roman" w:cs="Times New Roman"/>
              </w:rPr>
              <w:t>оглядів-</w:t>
            </w:r>
            <w:proofErr w:type="spellEnd"/>
            <w:r w:rsidR="00B56626" w:rsidRPr="00777261">
              <w:rPr>
                <w:rFonts w:ascii="Times New Roman" w:eastAsia="Times New Roman" w:hAnsi="Times New Roman" w:cs="Times New Roman"/>
              </w:rPr>
              <w:t xml:space="preserve"> конкурсів, фестивалів, спортивних змагань та соціальної реклами на протипожежну та аварійно-рятувальну тематику.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34B83" wp14:editId="79D49B68">
                      <wp:simplePos x="0" y="0"/>
                      <wp:positionH relativeFrom="column">
                        <wp:posOffset>6675755</wp:posOffset>
                      </wp:positionH>
                      <wp:positionV relativeFrom="paragraph">
                        <wp:posOffset>783590</wp:posOffset>
                      </wp:positionV>
                      <wp:extent cx="3611880" cy="640080"/>
                      <wp:effectExtent l="0" t="0" r="26670" b="26670"/>
                      <wp:wrapNone/>
                      <wp:docPr id="9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18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Продовження додатку 2</w:t>
                                  </w:r>
                                </w:p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до рішення ХХ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ІІІ скликання </w:t>
                                  </w:r>
                                </w:p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від 26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січня 2023 р. № 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-26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/2023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777261" w:rsidRDefault="00777261" w:rsidP="00777261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525.65pt;margin-top:61.7pt;width:284.4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" fillcolor="white [3201]" strokecolor="white [3212]" strokeweight=".5pt">
                      <v:path arrowok="t"/>
                      <v:textbox>
                        <w:txbxContent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</w:rPr>
                              <w:t>Продовження додатку 2</w:t>
                            </w:r>
                          </w:p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до рішення ХХ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 позачергової сесії 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ІІІ скликання </w:t>
                            </w:r>
                          </w:p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від 26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січня 2023 р. №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 -26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/2023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77261" w:rsidRDefault="00777261" w:rsidP="00777261">
                            <w:pPr>
                              <w:spacing w:after="0" w:line="240" w:lineRule="auto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857891" w:rsidRDefault="00777261" w:rsidP="00E22A5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Організація прогнозування виникнення надзвичайних ситуацій, їх розвитку </w:t>
            </w:r>
            <w:r w:rsidR="00B56626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та настання шкідливих наслідків (придбання програмного та апаратурного забезпечення для виконання таких робіт).</w:t>
            </w:r>
          </w:p>
          <w:p w:rsidR="00777261" w:rsidRPr="00857891" w:rsidRDefault="00777261" w:rsidP="00E22A5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Задоволення продовольчих потреб цивільного населення. </w:t>
            </w:r>
          </w:p>
          <w:p w:rsidR="002847EA" w:rsidRPr="00777261" w:rsidRDefault="002847EA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10. Забезпечення пожежної та техногенної безпеки населення на території громади.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Поліпшення цивільного захисту населення, створення резерву продовольчих і промислових товарів першої необхідності</w:t>
            </w: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626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B56626" w:rsidRPr="00777261" w:rsidRDefault="00B56626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Align w:val="center"/>
          </w:tcPr>
          <w:p w:rsidR="002847EA" w:rsidRPr="00857891" w:rsidRDefault="00B56626" w:rsidP="00284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бойової готовності та </w:t>
            </w:r>
            <w:r w:rsidR="002847EA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дії за призначенням</w:t>
            </w:r>
            <w:r w:rsidR="00857891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6626" w:rsidRPr="00857891" w:rsidRDefault="00857891" w:rsidP="00B566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12 ДПРЧ  ГУ ДСНС України в Чернівецькій області</w:t>
            </w:r>
          </w:p>
        </w:tc>
        <w:tc>
          <w:tcPr>
            <w:tcW w:w="2551" w:type="dxa"/>
            <w:vAlign w:val="center"/>
          </w:tcPr>
          <w:p w:rsidR="00B56626" w:rsidRPr="00777261" w:rsidRDefault="00B56626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Технічне оснащення пожежно-рятувальних підрозділів спеціальною технікою, обладнанням та запчастинами, засобами захисту органів дихання, іншим спорядженням та обмундируванням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B56626" w:rsidRPr="00777261" w:rsidRDefault="00B918DD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6626" w:rsidRPr="00777261">
              <w:rPr>
                <w:rFonts w:ascii="Times New Roman" w:hAnsi="Times New Roman" w:cs="Times New Roman"/>
              </w:rPr>
              <w:t xml:space="preserve"> ДПРЗ</w:t>
            </w:r>
            <w:r w:rsidR="00B56626">
              <w:rPr>
                <w:rFonts w:ascii="Times New Roman" w:hAnsi="Times New Roman" w:cs="Times New Roman"/>
              </w:rPr>
              <w:t xml:space="preserve"> 12 ДПРЧ</w:t>
            </w:r>
            <w:r w:rsidR="00B56626" w:rsidRPr="00777261">
              <w:rPr>
                <w:rFonts w:ascii="Times New Roman" w:hAnsi="Times New Roman" w:cs="Times New Roman"/>
              </w:rPr>
              <w:t xml:space="preserve">  ГУ </w:t>
            </w:r>
            <w:r w:rsidR="00B56626">
              <w:rPr>
                <w:rFonts w:ascii="Times New Roman" w:hAnsi="Times New Roman" w:cs="Times New Roman"/>
              </w:rPr>
              <w:t>ДСНС України в Черніве</w:t>
            </w:r>
            <w:r w:rsidR="00B56626" w:rsidRPr="00777261">
              <w:rPr>
                <w:rFonts w:ascii="Times New Roman" w:hAnsi="Times New Roman" w:cs="Times New Roman"/>
              </w:rPr>
              <w:t>цькій області,</w:t>
            </w:r>
            <w:r w:rsidR="00B56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6626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B56626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B56626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B56626" w:rsidRPr="00C62585" w:rsidRDefault="00C62585" w:rsidP="00B56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585">
              <w:rPr>
                <w:rFonts w:ascii="Times New Roman" w:hAnsi="Times New Roman" w:cs="Times New Roman"/>
                <w:b/>
              </w:rPr>
              <w:t>5000,0</w:t>
            </w:r>
          </w:p>
        </w:tc>
        <w:tc>
          <w:tcPr>
            <w:tcW w:w="850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51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0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39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705" w:type="dxa"/>
            <w:vAlign w:val="center"/>
          </w:tcPr>
          <w:p w:rsidR="00B56626" w:rsidRPr="002847EA" w:rsidRDefault="00B56626" w:rsidP="00B5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7EA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пожеж, надзвичайних ситуацій, подій та завданих збитків від них</w:t>
            </w:r>
          </w:p>
          <w:p w:rsidR="00B56626" w:rsidRPr="00777261" w:rsidRDefault="00B56626" w:rsidP="002847EA">
            <w:pPr>
              <w:jc w:val="center"/>
              <w:rPr>
                <w:rFonts w:ascii="Times New Roman" w:hAnsi="Times New Roman" w:cs="Times New Roman"/>
              </w:rPr>
            </w:pPr>
            <w:r w:rsidRPr="002847EA">
              <w:rPr>
                <w:rFonts w:ascii="Times New Roman" w:hAnsi="Times New Roman" w:cs="Times New Roman"/>
                <w:sz w:val="20"/>
                <w:szCs w:val="20"/>
              </w:rPr>
              <w:t xml:space="preserve">Зменшення кількості потерпілих </w:t>
            </w:r>
            <w:r w:rsidR="002847EA">
              <w:rPr>
                <w:rFonts w:ascii="Times New Roman" w:hAnsi="Times New Roman" w:cs="Times New Roman"/>
                <w:sz w:val="20"/>
                <w:szCs w:val="20"/>
              </w:rPr>
              <w:t xml:space="preserve">при НС 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Удосконалення системи зв’язку, оповіщення та інформатизації з питань дієвого взаєм</w:t>
            </w:r>
            <w:r w:rsidR="00B3244F">
              <w:rPr>
                <w:rFonts w:ascii="Times New Roman" w:eastAsia="Times New Roman" w:hAnsi="Times New Roman" w:cs="Times New Roman"/>
              </w:rPr>
              <w:t>н</w:t>
            </w:r>
            <w:r w:rsidRPr="00777261">
              <w:rPr>
                <w:rFonts w:ascii="Times New Roman" w:eastAsia="Times New Roman" w:hAnsi="Times New Roman" w:cs="Times New Roman"/>
              </w:rPr>
              <w:t>о</w:t>
            </w:r>
            <w:r w:rsidR="00B3244F">
              <w:rPr>
                <w:rFonts w:ascii="Times New Roman" w:eastAsia="Times New Roman" w:hAnsi="Times New Roman" w:cs="Times New Roman"/>
              </w:rPr>
              <w:t>го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інформування органів управління цивільним захистом та забезпечення взаємодії між силами цивільного захисту при реагуванні на надзвичайні ситуації та події. Впровадження в дію системи виклику екстрених служб за єдиним номером 112.</w:t>
            </w:r>
          </w:p>
          <w:p w:rsidR="00B3244F" w:rsidRDefault="00B3244F" w:rsidP="00B3244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Здійснення робіт з пошуку та рятування людей в рекреаційних зонах,</w:t>
            </w:r>
            <w:r>
              <w:rPr>
                <w:rFonts w:ascii="Times New Roman" w:eastAsia="Times New Roman" w:hAnsi="Times New Roman" w:cs="Times New Roman"/>
              </w:rPr>
              <w:t xml:space="preserve"> на водних об’єктах з під завалів будівель тощо.  </w:t>
            </w:r>
          </w:p>
          <w:p w:rsidR="00B3244F" w:rsidRPr="00777261" w:rsidRDefault="00B3244F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4. Проведення збору та обробки інформації у разі виникнення або загрози виникнення надз</w:t>
            </w:r>
            <w:r>
              <w:rPr>
                <w:rFonts w:ascii="Times New Roman" w:eastAsia="Times New Roman" w:hAnsi="Times New Roman" w:cs="Times New Roman"/>
              </w:rPr>
              <w:t>вичайних ситуацій природного,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техногенного </w:t>
            </w:r>
            <w:r>
              <w:rPr>
                <w:rFonts w:ascii="Times New Roman" w:eastAsia="Times New Roman" w:hAnsi="Times New Roman" w:cs="Times New Roman"/>
              </w:rPr>
              <w:t xml:space="preserve">й воєнного </w:t>
            </w:r>
            <w:r w:rsidRPr="00777261">
              <w:rPr>
                <w:rFonts w:ascii="Times New Roman" w:eastAsia="Times New Roman" w:hAnsi="Times New Roman" w:cs="Times New Roman"/>
              </w:rPr>
              <w:t>характеру.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5. Ліквідація пожеж, наслідків надзвичайних ситуацій і подій та ресурсне забезпечення цих заходів.</w:t>
            </w:r>
          </w:p>
          <w:p w:rsid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6. Проведення робіт із знешкодження </w:t>
            </w:r>
            <w:proofErr w:type="spellStart"/>
            <w:r w:rsidRPr="00777261">
              <w:rPr>
                <w:rFonts w:ascii="Times New Roman" w:eastAsia="Times New Roman" w:hAnsi="Times New Roman" w:cs="Times New Roman"/>
              </w:rPr>
              <w:t>вибухо-небезпечних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предметів, що залишилися на території після війн, та сучасних боєприпасів, матеріально-технічне забезпечення цих заходів.</w:t>
            </w:r>
          </w:p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7. Проведення практичних тактико-спеціальних та пожежно-тактичних тренувань та навчань з особовим складом ДПРЧ-12 ГУДСНС України в Чернівецькій області із залученням служб цивільного захисту.</w:t>
            </w:r>
          </w:p>
          <w:p w:rsidR="00DF4C30" w:rsidRPr="00777261" w:rsidRDefault="00DF4C30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777261">
              <w:rPr>
                <w:rFonts w:ascii="Times New Roman" w:eastAsia="Times New Roman" w:hAnsi="Times New Roman" w:cs="Times New Roman"/>
              </w:rPr>
              <w:t>. Перевірка та приведення в належний стан комунальних джерел водопостачання.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DF4C30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77261" w:rsidRPr="00777261">
              <w:rPr>
                <w:rFonts w:ascii="Times New Roman" w:eastAsia="Times New Roman" w:hAnsi="Times New Roman" w:cs="Times New Roman"/>
              </w:rPr>
              <w:t>. Удосконалення пересувних пунктів управління силами цивільного захисту при ліквідації надзвичайних ситуацій, їх наслідків та пунктів життєзабезпечення населення при ліквідації наслідків надзвичайних ситуацій.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Створення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функціону-в</w:t>
            </w:r>
            <w:r w:rsidRPr="00777261">
              <w:rPr>
                <w:rFonts w:ascii="Times New Roman" w:eastAsia="Times New Roman" w:hAnsi="Times New Roman" w:cs="Times New Roman"/>
              </w:rPr>
              <w:t>ання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місцевої пожежної охорони</w:t>
            </w:r>
          </w:p>
        </w:tc>
        <w:tc>
          <w:tcPr>
            <w:tcW w:w="2551" w:type="dxa"/>
            <w:vAlign w:val="center"/>
          </w:tcPr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Технічне оснащення пожежно-рятувальних підрозділів спеціальною технікою, обладнанням та запчастинами, засобами захисту органів дихання, іншим спорядженням та обмундируванням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  <w:p w:rsidR="00DF4C30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Покращення матеріально-технічного забезпечення та придбання паливно-мастильних матеріалів, автозапчастин, гідрантів й іншого обладнання, устаткування до пожежних авто, мотопомп, інше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C30" w:rsidRPr="00777261">
              <w:rPr>
                <w:rFonts w:ascii="Times New Roman" w:hAnsi="Times New Roman" w:cs="Times New Roman"/>
              </w:rPr>
              <w:t xml:space="preserve"> ДПРЗ</w:t>
            </w:r>
            <w:r w:rsidR="00DF4C30">
              <w:rPr>
                <w:rFonts w:ascii="Times New Roman" w:hAnsi="Times New Roman" w:cs="Times New Roman"/>
              </w:rPr>
              <w:t xml:space="preserve"> 12 ДПРЧ</w:t>
            </w:r>
            <w:r w:rsidR="00DF4C30" w:rsidRPr="00777261">
              <w:rPr>
                <w:rFonts w:ascii="Times New Roman" w:hAnsi="Times New Roman" w:cs="Times New Roman"/>
              </w:rPr>
              <w:t xml:space="preserve">  ГУ </w:t>
            </w:r>
            <w:r w:rsidR="00DF4C30">
              <w:rPr>
                <w:rFonts w:ascii="Times New Roman" w:hAnsi="Times New Roman" w:cs="Times New Roman"/>
              </w:rPr>
              <w:t>ДСНС України в Черніве</w:t>
            </w:r>
            <w:r w:rsidR="00DF4C30" w:rsidRPr="00777261">
              <w:rPr>
                <w:rFonts w:ascii="Times New Roman" w:hAnsi="Times New Roman" w:cs="Times New Roman"/>
              </w:rPr>
              <w:t>цькій області,</w:t>
            </w:r>
            <w:r w:rsidR="00DF4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C30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DF4C30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585">
              <w:rPr>
                <w:rFonts w:ascii="Times New Roman" w:hAnsi="Times New Roman" w:cs="Times New Roman"/>
                <w:b/>
              </w:rPr>
              <w:t>3200,0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05" w:type="dxa"/>
            <w:vAlign w:val="center"/>
          </w:tcPr>
          <w:p w:rsidR="00DF4C30" w:rsidRPr="00777261" w:rsidRDefault="00DF4C30" w:rsidP="00DF4C30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Зменшення кількості пожеж, надзвичайних ситуацій та подій</w:t>
            </w:r>
            <w:r>
              <w:rPr>
                <w:rFonts w:ascii="Times New Roman" w:hAnsi="Times New Roman" w:cs="Times New Roman"/>
              </w:rPr>
              <w:t xml:space="preserve"> на території громади </w:t>
            </w: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Придбання спеціальних протипожежних знаків (табличок, виготовлення інформаційних матеріалів та послуг), труб, кріплення, тощо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F4C30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DF4C30" w:rsidRPr="00777261" w:rsidRDefault="00DF4C30" w:rsidP="00DF4C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Будівництво нової захисної споруди цивільного захисту для укриття особового складу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3 ДПРЗ та 12 ДПРЧ в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777261">
              <w:rPr>
                <w:rFonts w:ascii="Times New Roman" w:eastAsia="Times New Roman" w:hAnsi="Times New Roman" w:cs="Times New Roman"/>
              </w:rPr>
              <w:t>Сторожи-нець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по вул. Хотинській, 3Д</w:t>
            </w:r>
          </w:p>
        </w:tc>
        <w:tc>
          <w:tcPr>
            <w:tcW w:w="2551" w:type="dxa"/>
            <w:vAlign w:val="center"/>
          </w:tcPr>
          <w:p w:rsidR="000D3E9E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</w:t>
            </w:r>
            <w:r w:rsidR="001447F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3E9E" w:rsidRDefault="000D3E9E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 </w:t>
            </w:r>
            <w:r w:rsidR="00DF4C30">
              <w:rPr>
                <w:rFonts w:ascii="Times New Roman" w:eastAsia="Times New Roman" w:hAnsi="Times New Roman" w:cs="Times New Roman"/>
              </w:rPr>
              <w:t>для будівництва</w:t>
            </w:r>
            <w:r w:rsidR="00DF4C30" w:rsidRPr="00777261">
              <w:rPr>
                <w:rFonts w:ascii="Times New Roman" w:eastAsia="Times New Roman" w:hAnsi="Times New Roman" w:cs="Times New Roman"/>
              </w:rPr>
              <w:t xml:space="preserve"> нової зах</w:t>
            </w:r>
            <w:r w:rsidR="00DF4C30">
              <w:rPr>
                <w:rFonts w:ascii="Times New Roman" w:eastAsia="Times New Roman" w:hAnsi="Times New Roman" w:cs="Times New Roman"/>
              </w:rPr>
              <w:t>исної споруди цивільного захисту</w:t>
            </w:r>
            <w:r w:rsidR="001447F5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C30" w:rsidRPr="00777261" w:rsidRDefault="001447F5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DF4C30">
              <w:rPr>
                <w:rFonts w:ascii="Times New Roman" w:eastAsia="Times New Roman" w:hAnsi="Times New Roman" w:cs="Times New Roman"/>
              </w:rPr>
              <w:t>2.</w:t>
            </w:r>
            <w:r w:rsidR="000D3E9E">
              <w:rPr>
                <w:rFonts w:ascii="Times New Roman" w:eastAsia="Times New Roman" w:hAnsi="Times New Roman" w:cs="Times New Roman"/>
              </w:rPr>
              <w:t xml:space="preserve"> для закупівлі засобів </w:t>
            </w:r>
            <w:proofErr w:type="spellStart"/>
            <w:r w:rsidR="000D3E9E">
              <w:rPr>
                <w:rFonts w:ascii="Times New Roman" w:eastAsia="Times New Roman" w:hAnsi="Times New Roman" w:cs="Times New Roman"/>
              </w:rPr>
              <w:t>бронезахисту</w:t>
            </w:r>
            <w:proofErr w:type="spellEnd"/>
            <w:r w:rsidR="000D3E9E">
              <w:rPr>
                <w:rFonts w:ascii="Times New Roman" w:eastAsia="Times New Roman" w:hAnsi="Times New Roman" w:cs="Times New Roman"/>
              </w:rPr>
              <w:t>, засобів індивідуального захисту, тощо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D3E9E">
              <w:rPr>
                <w:rFonts w:ascii="Times New Roman" w:eastAsia="Times New Roman" w:hAnsi="Times New Roman" w:cs="Times New Roman"/>
              </w:rPr>
              <w:t xml:space="preserve"> </w:t>
            </w:r>
            <w:r w:rsidR="00DF4C3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C30" w:rsidRPr="00777261">
              <w:rPr>
                <w:rFonts w:ascii="Times New Roman" w:hAnsi="Times New Roman" w:cs="Times New Roman"/>
              </w:rPr>
              <w:t xml:space="preserve"> ДПРЗ</w:t>
            </w:r>
            <w:r w:rsidR="00DF4C30">
              <w:rPr>
                <w:rFonts w:ascii="Times New Roman" w:hAnsi="Times New Roman" w:cs="Times New Roman"/>
              </w:rPr>
              <w:t xml:space="preserve"> 12 ДПРЧ</w:t>
            </w:r>
            <w:r w:rsidR="00DF4C30" w:rsidRPr="00777261">
              <w:rPr>
                <w:rFonts w:ascii="Times New Roman" w:hAnsi="Times New Roman" w:cs="Times New Roman"/>
              </w:rPr>
              <w:t xml:space="preserve">  ГУ </w:t>
            </w:r>
            <w:r w:rsidR="00DF4C30">
              <w:rPr>
                <w:rFonts w:ascii="Times New Roman" w:hAnsi="Times New Roman" w:cs="Times New Roman"/>
              </w:rPr>
              <w:t>ДСНС України в Черніве</w:t>
            </w:r>
            <w:r w:rsidR="00DF4C30" w:rsidRPr="00777261">
              <w:rPr>
                <w:rFonts w:ascii="Times New Roman" w:hAnsi="Times New Roman" w:cs="Times New Roman"/>
              </w:rPr>
              <w:t>цькій області,</w:t>
            </w:r>
            <w:r w:rsidR="00DF4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C30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DF4C30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705" w:type="dxa"/>
            <w:vAlign w:val="center"/>
          </w:tcPr>
          <w:p w:rsidR="00DF4C30" w:rsidRPr="00777261" w:rsidRDefault="00DF4C30" w:rsidP="00C62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A06CCC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vAlign w:val="center"/>
          </w:tcPr>
          <w:p w:rsidR="00DF4C30" w:rsidRPr="00777261" w:rsidRDefault="001447F5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Створення та стале функціонування пунктів незламності </w:t>
            </w:r>
          </w:p>
        </w:tc>
        <w:tc>
          <w:tcPr>
            <w:tcW w:w="2551" w:type="dxa"/>
            <w:vAlign w:val="center"/>
          </w:tcPr>
          <w:p w:rsidR="00DF4C30" w:rsidRPr="00777261" w:rsidRDefault="001447F5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Забезпечення паливно-мастильними матеріалами, генераторами, засобами зв’язку та оповіщення, методичними та інформаційними матеріалами, тощо.  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7F5" w:rsidRPr="00777261">
              <w:rPr>
                <w:rFonts w:ascii="Times New Roman" w:hAnsi="Times New Roman" w:cs="Times New Roman"/>
              </w:rPr>
              <w:t xml:space="preserve"> ДПРЗ</w:t>
            </w:r>
            <w:r w:rsidR="001447F5">
              <w:rPr>
                <w:rFonts w:ascii="Times New Roman" w:hAnsi="Times New Roman" w:cs="Times New Roman"/>
              </w:rPr>
              <w:t xml:space="preserve"> 12 ДПРЧ</w:t>
            </w:r>
            <w:r w:rsidR="001447F5" w:rsidRPr="00777261">
              <w:rPr>
                <w:rFonts w:ascii="Times New Roman" w:hAnsi="Times New Roman" w:cs="Times New Roman"/>
              </w:rPr>
              <w:t xml:space="preserve">  ГУ </w:t>
            </w:r>
            <w:r w:rsidR="001447F5">
              <w:rPr>
                <w:rFonts w:ascii="Times New Roman" w:hAnsi="Times New Roman" w:cs="Times New Roman"/>
              </w:rPr>
              <w:t>ДСНС України в Черніве</w:t>
            </w:r>
            <w:r w:rsidR="001447F5" w:rsidRPr="00777261">
              <w:rPr>
                <w:rFonts w:ascii="Times New Roman" w:hAnsi="Times New Roman" w:cs="Times New Roman"/>
              </w:rPr>
              <w:t>цькій області,</w:t>
            </w:r>
            <w:r w:rsidR="00144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47F5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1447F5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Default="001447F5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5" w:type="dxa"/>
            <w:vAlign w:val="center"/>
          </w:tcPr>
          <w:p w:rsidR="00DF4C30" w:rsidRPr="00777261" w:rsidRDefault="001447F5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допомоги населенню щодо обігріву, зв’язку та сталої роботи пожежних загонів</w:t>
            </w:r>
          </w:p>
        </w:tc>
      </w:tr>
      <w:tr w:rsidR="001447F5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1447F5" w:rsidRDefault="001447F5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1559" w:type="dxa"/>
            <w:vAlign w:val="center"/>
          </w:tcPr>
          <w:p w:rsidR="001447F5" w:rsidRPr="00777261" w:rsidRDefault="001447F5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</w:rPr>
              <w:t>радіоме</w:t>
            </w:r>
            <w:r w:rsidRPr="00777261">
              <w:rPr>
                <w:rFonts w:ascii="Times New Roman" w:eastAsia="Times New Roman" w:hAnsi="Times New Roman" w:cs="Times New Roman"/>
              </w:rPr>
              <w:t>режі керівної ланки єдиної державної сис</w:t>
            </w:r>
            <w:r>
              <w:rPr>
                <w:rFonts w:ascii="Times New Roman" w:eastAsia="Times New Roman" w:hAnsi="Times New Roman" w:cs="Times New Roman"/>
              </w:rPr>
              <w:t>теми цивільного захисту Черніве</w:t>
            </w:r>
            <w:r w:rsidRPr="00777261">
              <w:rPr>
                <w:rFonts w:ascii="Times New Roman" w:eastAsia="Times New Roman" w:hAnsi="Times New Roman" w:cs="Times New Roman"/>
              </w:rPr>
              <w:t>цької області</w:t>
            </w:r>
          </w:p>
        </w:tc>
        <w:tc>
          <w:tcPr>
            <w:tcW w:w="2551" w:type="dxa"/>
            <w:vAlign w:val="center"/>
          </w:tcPr>
          <w:p w:rsidR="001447F5" w:rsidRPr="00BE7AB0" w:rsidRDefault="001447F5" w:rsidP="00DF4C30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Придбання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портатив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них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радіостанцій, системи оповіщення (сирен тощо),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автома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тичного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блоку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ня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сиреною, обладнання (комплектуючі) до них, їх технічне й програмне обслуговування, ремонт обслуговування, тощо</w:t>
            </w:r>
            <w:r w:rsidR="0045418E"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BE7AB0" w:rsidRPr="00777261" w:rsidRDefault="00BE7AB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1.1. Виготовлення </w:t>
            </w:r>
            <w:proofErr w:type="spellStart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проєктно-кошторисної</w:t>
            </w:r>
            <w:proofErr w:type="spellEnd"/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документації з реконструкції, впровадження, модернізації МАСЦО</w:t>
            </w:r>
            <w:r w:rsidR="00F6503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 подальшою реалізацією проєкту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447F5" w:rsidRPr="0054326D" w:rsidRDefault="00B918DD" w:rsidP="00E2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447F5" w:rsidRPr="0054326D">
              <w:rPr>
                <w:rFonts w:ascii="Times New Roman" w:hAnsi="Times New Roman" w:cs="Times New Roman"/>
                <w:sz w:val="21"/>
                <w:szCs w:val="21"/>
              </w:rPr>
              <w:t xml:space="preserve"> ДПРЗ 12 ДПРЧ  ГУ ДСНС України в Чернівецькій області, </w:t>
            </w:r>
            <w:r w:rsidR="0054326D">
              <w:rPr>
                <w:rFonts w:ascii="Times New Roman" w:hAnsi="Times New Roman" w:cs="Times New Roman"/>
                <w:sz w:val="21"/>
                <w:szCs w:val="21"/>
              </w:rPr>
              <w:t>Сторожи</w:t>
            </w:r>
            <w:r w:rsidR="001447F5" w:rsidRPr="0054326D">
              <w:rPr>
                <w:rFonts w:ascii="Times New Roman" w:hAnsi="Times New Roman" w:cs="Times New Roman"/>
                <w:sz w:val="21"/>
                <w:szCs w:val="21"/>
              </w:rPr>
              <w:t>нецька міська рада</w:t>
            </w:r>
          </w:p>
        </w:tc>
        <w:tc>
          <w:tcPr>
            <w:tcW w:w="1843" w:type="dxa"/>
            <w:vAlign w:val="center"/>
          </w:tcPr>
          <w:p w:rsidR="001447F5" w:rsidRDefault="001447F5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1276" w:type="dxa"/>
            <w:vAlign w:val="center"/>
          </w:tcPr>
          <w:p w:rsidR="001447F5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2300,0</w:t>
            </w:r>
          </w:p>
        </w:tc>
        <w:tc>
          <w:tcPr>
            <w:tcW w:w="850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851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850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39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5" w:type="dxa"/>
            <w:vAlign w:val="center"/>
          </w:tcPr>
          <w:p w:rsidR="001447F5" w:rsidRPr="00777261" w:rsidRDefault="001447F5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Належне оповіщення населення громади про можливе виникнення надзвичайної ситуації </w:t>
            </w:r>
          </w:p>
        </w:tc>
      </w:tr>
      <w:tr w:rsidR="0045418E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45418E" w:rsidRDefault="0045418E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vAlign w:val="center"/>
          </w:tcPr>
          <w:p w:rsidR="0045418E" w:rsidRPr="00777261" w:rsidRDefault="0045418E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</w:t>
            </w:r>
            <w:r w:rsidRPr="00777261">
              <w:rPr>
                <w:rFonts w:ascii="Times New Roman" w:hAnsi="Times New Roman" w:cs="Times New Roman"/>
                <w:color w:val="000000"/>
              </w:rPr>
              <w:t xml:space="preserve">ння укриття населення в захисних спорудах цивільного захисту, що належать 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Сторожин</w:t>
            </w:r>
            <w:r w:rsidRPr="00777261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777261">
              <w:rPr>
                <w:rFonts w:ascii="Times New Roman" w:hAnsi="Times New Roman" w:cs="Times New Roman"/>
                <w:color w:val="000000"/>
              </w:rPr>
              <w:t>цької</w:t>
            </w:r>
            <w:proofErr w:type="spellEnd"/>
            <w:r w:rsidRPr="00777261">
              <w:rPr>
                <w:rFonts w:ascii="Times New Roman" w:hAnsi="Times New Roman" w:cs="Times New Roman"/>
                <w:color w:val="000000"/>
              </w:rPr>
              <w:t xml:space="preserve"> міської ради та її комунальних підприємств  </w:t>
            </w:r>
          </w:p>
        </w:tc>
        <w:tc>
          <w:tcPr>
            <w:tcW w:w="2551" w:type="dxa"/>
            <w:vAlign w:val="center"/>
          </w:tcPr>
          <w:p w:rsidR="0045418E" w:rsidRPr="00BE7AB0" w:rsidRDefault="0045418E" w:rsidP="001447F5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1. Організація та проведення заходів з технічної. інвентаризації ЗСЦЗ.</w:t>
            </w:r>
          </w:p>
          <w:p w:rsidR="0045418E" w:rsidRDefault="0045418E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E7AB0">
              <w:rPr>
                <w:rFonts w:ascii="Times New Roman" w:eastAsia="Times New Roman" w:hAnsi="Times New Roman" w:cs="Times New Roman"/>
                <w:sz w:val="21"/>
                <w:szCs w:val="21"/>
              </w:rPr>
              <w:t>2. Організація роботи щодо складання кошторисних розрахунків на проведення поточних ремонтів ЗСЦЗ протирадіаційних укритів, сховищ, найпростіших укритів, укриттів подвійного призначення.</w:t>
            </w:r>
          </w:p>
        </w:tc>
        <w:tc>
          <w:tcPr>
            <w:tcW w:w="1701" w:type="dxa"/>
            <w:vAlign w:val="center"/>
          </w:tcPr>
          <w:p w:rsidR="0045418E" w:rsidRPr="00BE7AB0" w:rsidRDefault="00B918DD" w:rsidP="004541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7AB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 xml:space="preserve"> ДПРЗ 12 ДПРЧ  ГУ ДСНС України в Чернівецькій області,</w:t>
            </w:r>
          </w:p>
          <w:p w:rsidR="0045418E" w:rsidRPr="00777261" w:rsidRDefault="0054326D" w:rsidP="004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Сторожи</w:t>
            </w:r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 xml:space="preserve">нецька міська рада та її комунальні підприємства, Відділ освіти </w:t>
            </w:r>
            <w:proofErr w:type="spellStart"/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>Сторожи-нецької</w:t>
            </w:r>
            <w:proofErr w:type="spellEnd"/>
            <w:r w:rsidR="0045418E" w:rsidRPr="00BE7AB0">
              <w:rPr>
                <w:rFonts w:ascii="Times New Roman" w:hAnsi="Times New Roman" w:cs="Times New Roman"/>
                <w:sz w:val="21"/>
                <w:szCs w:val="21"/>
              </w:rPr>
              <w:t xml:space="preserve"> міської ради</w:t>
            </w:r>
          </w:p>
        </w:tc>
        <w:tc>
          <w:tcPr>
            <w:tcW w:w="1843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45418E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17000,0</w:t>
            </w:r>
          </w:p>
        </w:tc>
        <w:tc>
          <w:tcPr>
            <w:tcW w:w="850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1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839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705" w:type="dxa"/>
            <w:vAlign w:val="center"/>
          </w:tcPr>
          <w:p w:rsidR="0045418E" w:rsidRDefault="0045418E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стану готовності захисних споруд цивільного захисту населення громади</w:t>
            </w:r>
          </w:p>
        </w:tc>
      </w:tr>
      <w:tr w:rsidR="0045418E" w:rsidRPr="00777261" w:rsidTr="00E22A5B">
        <w:trPr>
          <w:cantSplit/>
          <w:trHeight w:val="492"/>
          <w:tblHeader/>
        </w:trPr>
        <w:tc>
          <w:tcPr>
            <w:tcW w:w="534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lastRenderedPageBreak/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Перелік заходів Програми </w:t>
            </w:r>
          </w:p>
        </w:tc>
        <w:tc>
          <w:tcPr>
            <w:tcW w:w="1701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666" w:type="dxa"/>
            <w:gridSpan w:val="5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Орієнтовані обсяги фінансування (вартість)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105E57">
              <w:rPr>
                <w:rFonts w:ascii="Times New Roman" w:hAnsi="Times New Roman" w:cs="Times New Roman"/>
                <w:b/>
              </w:rPr>
              <w:t xml:space="preserve"> на 2025-2028 роки</w:t>
            </w:r>
            <w:r w:rsidRPr="00777261">
              <w:rPr>
                <w:rFonts w:ascii="Times New Roman" w:hAnsi="Times New Roman" w:cs="Times New Roman"/>
                <w:b/>
              </w:rPr>
              <w:t>, тис. грн.</w:t>
            </w:r>
          </w:p>
        </w:tc>
        <w:tc>
          <w:tcPr>
            <w:tcW w:w="1705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Очікуваний результат</w:t>
            </w:r>
          </w:p>
        </w:tc>
      </w:tr>
      <w:tr w:rsidR="0045418E" w:rsidRPr="00777261" w:rsidTr="00E22A5B">
        <w:trPr>
          <w:cantSplit/>
          <w:trHeight w:val="1134"/>
          <w:tblHeader/>
        </w:trPr>
        <w:tc>
          <w:tcPr>
            <w:tcW w:w="534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850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2025р.</w:t>
            </w:r>
          </w:p>
        </w:tc>
        <w:tc>
          <w:tcPr>
            <w:tcW w:w="851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2026 р.</w:t>
            </w:r>
          </w:p>
        </w:tc>
        <w:tc>
          <w:tcPr>
            <w:tcW w:w="850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2027 р.</w:t>
            </w:r>
          </w:p>
        </w:tc>
        <w:tc>
          <w:tcPr>
            <w:tcW w:w="839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2028 р. </w:t>
            </w:r>
          </w:p>
        </w:tc>
        <w:tc>
          <w:tcPr>
            <w:tcW w:w="1705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418E" w:rsidRPr="00777261" w:rsidTr="00E22A5B">
        <w:trPr>
          <w:cantSplit/>
          <w:trHeight w:val="241"/>
        </w:trPr>
        <w:tc>
          <w:tcPr>
            <w:tcW w:w="534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5418E" w:rsidRPr="00777261" w:rsidRDefault="0045418E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45418E" w:rsidRPr="0054326D" w:rsidRDefault="0045418E" w:rsidP="00E22A5B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 Організація утримання та проведення будівництва, поточних й капітальних ремонтів ЗСЦЗ, протирадіаційних укриттів, сховищ, найпростіших укриттів, </w:t>
            </w:r>
            <w:proofErr w:type="spellStart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укриттів</w:t>
            </w:r>
            <w:proofErr w:type="spellEnd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подвійного призначення.</w:t>
            </w:r>
          </w:p>
          <w:p w:rsidR="00857891" w:rsidRPr="0054326D" w:rsidRDefault="0045418E" w:rsidP="00E22A5B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4. Придбання</w:t>
            </w:r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інстру-менітв</w:t>
            </w:r>
            <w:proofErr w:type="spellEnd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матеріалів, обладнання, інвент</w:t>
            </w:r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арів для укриттів, придбання та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виготовлення </w:t>
            </w:r>
            <w:proofErr w:type="spellStart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інфор</w:t>
            </w:r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маційних</w:t>
            </w:r>
            <w:proofErr w:type="spellEnd"/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послуг, матеріалів,</w:t>
            </w:r>
            <w:r w:rsidR="00F6503E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лавочок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тощо.</w:t>
            </w:r>
          </w:p>
          <w:p w:rsidR="0054326D" w:rsidRPr="0054326D" w:rsidRDefault="0054326D" w:rsidP="00E22A5B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Придбання матеріалів та інструментів з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метою 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наповненням місцевого матеріального резерву </w:t>
            </w:r>
          </w:p>
          <w:p w:rsidR="0045418E" w:rsidRPr="00777261" w:rsidRDefault="0054326D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Придбання індивідуальних засобів захисту від радіаційного та хімічного ураження, дозиметричних приладів тощо для працівників критично важливих підприємств та установ, не працюючого </w:t>
            </w:r>
            <w:proofErr w:type="spellStart"/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насе</w:t>
            </w:r>
            <w:r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>лення</w:t>
            </w:r>
            <w:proofErr w:type="spellEnd"/>
            <w:r w:rsidR="00857891" w:rsidRPr="005432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інше.</w:t>
            </w:r>
            <w:r w:rsidR="00857891">
              <w:rPr>
                <w:rFonts w:ascii="Times New Roman" w:eastAsia="Times New Roman" w:hAnsi="Times New Roman" w:cs="Times New Roman"/>
              </w:rPr>
              <w:t xml:space="preserve"> </w:t>
            </w:r>
            <w:r w:rsidR="0045418E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5418E" w:rsidRPr="007940BC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85" w:rsidRPr="00777261" w:rsidTr="009A2B05">
        <w:trPr>
          <w:cantSplit/>
          <w:trHeight w:val="241"/>
        </w:trPr>
        <w:tc>
          <w:tcPr>
            <w:tcW w:w="6345" w:type="dxa"/>
            <w:gridSpan w:val="4"/>
            <w:vAlign w:val="center"/>
          </w:tcPr>
          <w:p w:rsidR="00C62585" w:rsidRPr="00C62585" w:rsidRDefault="00C62585" w:rsidP="00C625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8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</w:t>
            </w:r>
          </w:p>
        </w:tc>
        <w:tc>
          <w:tcPr>
            <w:tcW w:w="850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</w:t>
            </w:r>
          </w:p>
        </w:tc>
        <w:tc>
          <w:tcPr>
            <w:tcW w:w="851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10100</w:t>
            </w:r>
          </w:p>
        </w:tc>
        <w:tc>
          <w:tcPr>
            <w:tcW w:w="850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8900</w:t>
            </w:r>
          </w:p>
        </w:tc>
        <w:tc>
          <w:tcPr>
            <w:tcW w:w="839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7800</w:t>
            </w:r>
          </w:p>
        </w:tc>
        <w:tc>
          <w:tcPr>
            <w:tcW w:w="1705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B27" w:rsidRDefault="00BF4B27" w:rsidP="00706B87">
      <w:pPr>
        <w:spacing w:after="0" w:line="240" w:lineRule="auto"/>
        <w:contextualSpacing/>
        <w:sectPr w:rsidR="00BF4B27" w:rsidSect="007940BC">
          <w:pgSz w:w="16838" w:h="11906" w:orient="landscape"/>
          <w:pgMar w:top="1134" w:right="567" w:bottom="567" w:left="1701" w:header="709" w:footer="709" w:gutter="0"/>
          <w:pgNumType w:start="7"/>
          <w:cols w:space="708"/>
          <w:titlePg/>
          <w:docGrid w:linePitch="360"/>
        </w:sectPr>
      </w:pPr>
    </w:p>
    <w:p w:rsidR="006969E1" w:rsidRDefault="006969E1" w:rsidP="006969E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Розділ 8. </w:t>
      </w:r>
      <w:r w:rsidRPr="001C7E0B">
        <w:rPr>
          <w:rFonts w:ascii="Times New Roman" w:eastAsia="Times New Roman" w:hAnsi="Times New Roman" w:cs="Times New Roman"/>
          <w:b/>
          <w:sz w:val="28"/>
          <w:szCs w:val="28"/>
        </w:rPr>
        <w:t>Система управління та контролю за ходом виконання Програми</w:t>
      </w:r>
    </w:p>
    <w:p w:rsidR="007272EF" w:rsidRPr="00B52289" w:rsidRDefault="007272EF" w:rsidP="007272EF">
      <w:pPr>
        <w:pStyle w:val="22"/>
        <w:shd w:val="clear" w:color="auto" w:fill="auto"/>
        <w:spacing w:before="0" w:line="240" w:lineRule="auto"/>
        <w:ind w:firstLine="709"/>
        <w:rPr>
          <w:lang w:val="uk-UA"/>
        </w:rPr>
      </w:pPr>
      <w:r>
        <w:rPr>
          <w:lang w:val="uk-UA"/>
        </w:rPr>
        <w:t xml:space="preserve">Військово-облікове бюро Сторожинецької міської ради </w:t>
      </w:r>
      <w:r w:rsidRPr="00B52289">
        <w:rPr>
          <w:lang w:val="uk-UA"/>
        </w:rPr>
        <w:t>є відповідальним за виконання запланованих у Програмі заходів, забезпечує їх реалізацію у повному обсязі і у визначені терміни.</w:t>
      </w:r>
    </w:p>
    <w:p w:rsidR="007272EF" w:rsidRPr="00645CED" w:rsidRDefault="007272EF" w:rsidP="007272EF">
      <w:pPr>
        <w:pStyle w:val="22"/>
        <w:shd w:val="clear" w:color="auto" w:fill="auto"/>
        <w:spacing w:before="0"/>
        <w:ind w:firstLine="709"/>
        <w:rPr>
          <w:lang w:val="uk-UA"/>
        </w:rPr>
      </w:pPr>
      <w:r w:rsidRPr="00645CED">
        <w:rPr>
          <w:lang w:val="uk-UA"/>
        </w:rPr>
        <w:t>Контроль за ходом виконанням Програми здійснює постійна комісія з питань 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</w:t>
      </w:r>
      <w:r>
        <w:rPr>
          <w:lang w:val="uk-UA"/>
        </w:rPr>
        <w:t>я</w:t>
      </w:r>
      <w:r w:rsidRPr="00645CED">
        <w:rPr>
          <w:lang w:val="uk-UA"/>
        </w:rPr>
        <w:t>.</w:t>
      </w:r>
    </w:p>
    <w:p w:rsidR="007272EF" w:rsidRPr="00645CED" w:rsidRDefault="007272EF" w:rsidP="007272EF">
      <w:pPr>
        <w:pStyle w:val="22"/>
        <w:shd w:val="clear" w:color="auto" w:fill="auto"/>
        <w:spacing w:before="0"/>
        <w:ind w:firstLine="709"/>
        <w:rPr>
          <w:lang w:val="uk-UA"/>
        </w:rPr>
      </w:pPr>
      <w:r w:rsidRPr="00645CED">
        <w:rPr>
          <w:lang w:val="uk-UA"/>
        </w:rPr>
        <w:t>Військово-облікове бюро Сторожинецької міс</w:t>
      </w:r>
      <w:r>
        <w:rPr>
          <w:lang w:val="uk-UA"/>
        </w:rPr>
        <w:t xml:space="preserve">ької ради до 1 березня 2026 – 2029 років </w:t>
      </w:r>
      <w:r w:rsidRPr="00645CED">
        <w:rPr>
          <w:lang w:val="uk-UA"/>
        </w:rPr>
        <w:t>узагальнює, аналізує та подає інформацію пр</w:t>
      </w:r>
      <w:r>
        <w:rPr>
          <w:lang w:val="uk-UA"/>
        </w:rPr>
        <w:t>о хід виконання Програми</w:t>
      </w:r>
      <w:r w:rsidRPr="00645CED">
        <w:rPr>
          <w:lang w:val="uk-UA"/>
        </w:rPr>
        <w:t xml:space="preserve"> на розгляд постійної комісії міської ради з питань регламенту, депутатської діяльності, законності правопорядку взаємодії з правоохоронними органами, протидії корупції, охорони прав, свобод, законних інтересів громадян, інформованості населення. Постійна комісія заслуховує на своєму засіданні інформацію про хід виконання Програми та подає на розгляд сесії проект</w:t>
      </w:r>
      <w:r>
        <w:rPr>
          <w:lang w:val="uk-UA"/>
        </w:rPr>
        <w:t xml:space="preserve"> відповідного</w:t>
      </w:r>
      <w:r w:rsidRPr="00645CED">
        <w:rPr>
          <w:lang w:val="uk-UA"/>
        </w:rPr>
        <w:t xml:space="preserve"> рішення.</w:t>
      </w:r>
    </w:p>
    <w:p w:rsidR="006F49D1" w:rsidRDefault="006F49D1" w:rsidP="00BF4B27">
      <w:pPr>
        <w:spacing w:after="0" w:line="240" w:lineRule="auto"/>
        <w:contextualSpacing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Інспектор з питань надзвичайних </w:t>
      </w: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ситуацій та цивільного захисту </w:t>
      </w:r>
    </w:p>
    <w:p w:rsidR="006969E1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>населення і території</w:t>
      </w: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військово-облікового бюро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969E1" w:rsidRPr="006155DF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>Сторожинецької місь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кої ради                   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Дмитро МІСИК</w:t>
      </w: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706B87">
      <w:pPr>
        <w:spacing w:after="0" w:line="240" w:lineRule="auto"/>
        <w:contextualSpacing/>
      </w:pPr>
    </w:p>
    <w:sectPr w:rsidR="006F49D1" w:rsidSect="007272EF">
      <w:pgSz w:w="11906" w:h="16838"/>
      <w:pgMar w:top="1134" w:right="567" w:bottom="1134" w:left="1701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23" w:rsidRDefault="006D1B23" w:rsidP="00F357C8">
      <w:pPr>
        <w:spacing w:after="0" w:line="240" w:lineRule="auto"/>
      </w:pPr>
      <w:r>
        <w:separator/>
      </w:r>
    </w:p>
  </w:endnote>
  <w:endnote w:type="continuationSeparator" w:id="0">
    <w:p w:rsidR="006D1B23" w:rsidRDefault="006D1B23" w:rsidP="00F3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8816"/>
      <w:docPartObj>
        <w:docPartGallery w:val="Page Numbers (Bottom of Page)"/>
        <w:docPartUnique/>
      </w:docPartObj>
    </w:sdtPr>
    <w:sdtEndPr/>
    <w:sdtContent>
      <w:p w:rsidR="00824950" w:rsidRDefault="00824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294" w:rsidRPr="000E3294">
          <w:rPr>
            <w:noProof/>
            <w:lang w:val="ru-RU"/>
          </w:rPr>
          <w:t>15</w:t>
        </w:r>
        <w:r>
          <w:fldChar w:fldCharType="end"/>
        </w:r>
      </w:p>
    </w:sdtContent>
  </w:sdt>
  <w:p w:rsidR="00824950" w:rsidRDefault="008249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277399"/>
      <w:docPartObj>
        <w:docPartGallery w:val="Page Numbers (Bottom of Page)"/>
        <w:docPartUnique/>
      </w:docPartObj>
    </w:sdtPr>
    <w:sdtEndPr/>
    <w:sdtContent>
      <w:p w:rsidR="00824950" w:rsidRDefault="00824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294" w:rsidRPr="000E3294">
          <w:rPr>
            <w:noProof/>
            <w:lang w:val="ru-RU"/>
          </w:rPr>
          <w:t>16</w:t>
        </w:r>
        <w:r>
          <w:fldChar w:fldCharType="end"/>
        </w:r>
      </w:p>
    </w:sdtContent>
  </w:sdt>
  <w:p w:rsidR="00824950" w:rsidRDefault="008249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23" w:rsidRDefault="006D1B23" w:rsidP="00F357C8">
      <w:pPr>
        <w:spacing w:after="0" w:line="240" w:lineRule="auto"/>
      </w:pPr>
      <w:r>
        <w:separator/>
      </w:r>
    </w:p>
  </w:footnote>
  <w:footnote w:type="continuationSeparator" w:id="0">
    <w:p w:rsidR="006D1B23" w:rsidRDefault="006D1B23" w:rsidP="00F3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FA372D"/>
    <w:multiLevelType w:val="hybridMultilevel"/>
    <w:tmpl w:val="69D210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1B2B"/>
    <w:multiLevelType w:val="hybridMultilevel"/>
    <w:tmpl w:val="93A0EED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>
    <w:nsid w:val="53EE0AA1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3606"/>
    <w:multiLevelType w:val="hybridMultilevel"/>
    <w:tmpl w:val="C652D672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41"/>
    <w:rsid w:val="0002722B"/>
    <w:rsid w:val="00040A30"/>
    <w:rsid w:val="00042E0C"/>
    <w:rsid w:val="00081C79"/>
    <w:rsid w:val="00082361"/>
    <w:rsid w:val="000A33C9"/>
    <w:rsid w:val="000A401A"/>
    <w:rsid w:val="000B3C8F"/>
    <w:rsid w:val="000C2416"/>
    <w:rsid w:val="000D3129"/>
    <w:rsid w:val="000D3E9E"/>
    <w:rsid w:val="000D414B"/>
    <w:rsid w:val="000E3294"/>
    <w:rsid w:val="000E376C"/>
    <w:rsid w:val="000F5B01"/>
    <w:rsid w:val="00101585"/>
    <w:rsid w:val="00102A06"/>
    <w:rsid w:val="00104844"/>
    <w:rsid w:val="00105E57"/>
    <w:rsid w:val="001228C9"/>
    <w:rsid w:val="00125AB4"/>
    <w:rsid w:val="001447F5"/>
    <w:rsid w:val="00147750"/>
    <w:rsid w:val="00153214"/>
    <w:rsid w:val="00154460"/>
    <w:rsid w:val="00170F1C"/>
    <w:rsid w:val="0017559F"/>
    <w:rsid w:val="00175C48"/>
    <w:rsid w:val="0019142A"/>
    <w:rsid w:val="0019373E"/>
    <w:rsid w:val="001A3784"/>
    <w:rsid w:val="001C7E0B"/>
    <w:rsid w:val="001E2171"/>
    <w:rsid w:val="001E305E"/>
    <w:rsid w:val="001F3CE4"/>
    <w:rsid w:val="002220EE"/>
    <w:rsid w:val="0022472A"/>
    <w:rsid w:val="0022477B"/>
    <w:rsid w:val="00230920"/>
    <w:rsid w:val="002335BE"/>
    <w:rsid w:val="00240B7A"/>
    <w:rsid w:val="00240E3C"/>
    <w:rsid w:val="002466B0"/>
    <w:rsid w:val="0027295E"/>
    <w:rsid w:val="00274B8D"/>
    <w:rsid w:val="0028327D"/>
    <w:rsid w:val="00284749"/>
    <w:rsid w:val="002847EA"/>
    <w:rsid w:val="0029134C"/>
    <w:rsid w:val="002A0D12"/>
    <w:rsid w:val="002B2F34"/>
    <w:rsid w:val="002B6DBA"/>
    <w:rsid w:val="002C4A7B"/>
    <w:rsid w:val="002E5355"/>
    <w:rsid w:val="0030646A"/>
    <w:rsid w:val="003214B4"/>
    <w:rsid w:val="0033016C"/>
    <w:rsid w:val="00332281"/>
    <w:rsid w:val="003417E9"/>
    <w:rsid w:val="00351398"/>
    <w:rsid w:val="003873EF"/>
    <w:rsid w:val="00391217"/>
    <w:rsid w:val="00393DD3"/>
    <w:rsid w:val="003A4AEC"/>
    <w:rsid w:val="003C7FD2"/>
    <w:rsid w:val="003E07E9"/>
    <w:rsid w:val="003F1874"/>
    <w:rsid w:val="003F225D"/>
    <w:rsid w:val="003F6EFA"/>
    <w:rsid w:val="00411B57"/>
    <w:rsid w:val="004324F4"/>
    <w:rsid w:val="0044084D"/>
    <w:rsid w:val="00446F46"/>
    <w:rsid w:val="00453DDD"/>
    <w:rsid w:val="0045418E"/>
    <w:rsid w:val="00454491"/>
    <w:rsid w:val="0046260D"/>
    <w:rsid w:val="00462AB4"/>
    <w:rsid w:val="0047062A"/>
    <w:rsid w:val="00482C39"/>
    <w:rsid w:val="00491EA7"/>
    <w:rsid w:val="004A0A57"/>
    <w:rsid w:val="004A76CC"/>
    <w:rsid w:val="004B3557"/>
    <w:rsid w:val="004C37DA"/>
    <w:rsid w:val="004D0091"/>
    <w:rsid w:val="004D7AB6"/>
    <w:rsid w:val="004F3312"/>
    <w:rsid w:val="005150A2"/>
    <w:rsid w:val="00517650"/>
    <w:rsid w:val="00523321"/>
    <w:rsid w:val="0053218A"/>
    <w:rsid w:val="0054326D"/>
    <w:rsid w:val="00554ECD"/>
    <w:rsid w:val="00562D4E"/>
    <w:rsid w:val="0056395C"/>
    <w:rsid w:val="00564904"/>
    <w:rsid w:val="00573E56"/>
    <w:rsid w:val="00593921"/>
    <w:rsid w:val="005A19A7"/>
    <w:rsid w:val="005A6D1B"/>
    <w:rsid w:val="005B00F8"/>
    <w:rsid w:val="005B14A9"/>
    <w:rsid w:val="005C41DB"/>
    <w:rsid w:val="005E04E3"/>
    <w:rsid w:val="005E6ECF"/>
    <w:rsid w:val="005F2C2C"/>
    <w:rsid w:val="005F7520"/>
    <w:rsid w:val="00603A10"/>
    <w:rsid w:val="00604836"/>
    <w:rsid w:val="00613DE0"/>
    <w:rsid w:val="00627966"/>
    <w:rsid w:val="00627A00"/>
    <w:rsid w:val="00635465"/>
    <w:rsid w:val="006409E6"/>
    <w:rsid w:val="00643DD1"/>
    <w:rsid w:val="00665FE5"/>
    <w:rsid w:val="00667D16"/>
    <w:rsid w:val="0067026F"/>
    <w:rsid w:val="0067368A"/>
    <w:rsid w:val="0067729D"/>
    <w:rsid w:val="00680A93"/>
    <w:rsid w:val="006969E1"/>
    <w:rsid w:val="00696D2F"/>
    <w:rsid w:val="006A6103"/>
    <w:rsid w:val="006A64D7"/>
    <w:rsid w:val="006B5061"/>
    <w:rsid w:val="006B6FA4"/>
    <w:rsid w:val="006C3CBE"/>
    <w:rsid w:val="006D1B23"/>
    <w:rsid w:val="006D1FB4"/>
    <w:rsid w:val="006E3AA3"/>
    <w:rsid w:val="006E4308"/>
    <w:rsid w:val="006E4FAC"/>
    <w:rsid w:val="006F0F2E"/>
    <w:rsid w:val="006F0FC9"/>
    <w:rsid w:val="006F49D1"/>
    <w:rsid w:val="00706B87"/>
    <w:rsid w:val="00724142"/>
    <w:rsid w:val="007272EF"/>
    <w:rsid w:val="0074602F"/>
    <w:rsid w:val="00760B72"/>
    <w:rsid w:val="007622F4"/>
    <w:rsid w:val="00774436"/>
    <w:rsid w:val="00777261"/>
    <w:rsid w:val="00783042"/>
    <w:rsid w:val="00783D8A"/>
    <w:rsid w:val="007940BC"/>
    <w:rsid w:val="00794544"/>
    <w:rsid w:val="00796F36"/>
    <w:rsid w:val="007A441F"/>
    <w:rsid w:val="007A5A84"/>
    <w:rsid w:val="007B50C1"/>
    <w:rsid w:val="007C01E7"/>
    <w:rsid w:val="007C254E"/>
    <w:rsid w:val="007D01D6"/>
    <w:rsid w:val="00804D30"/>
    <w:rsid w:val="00811D48"/>
    <w:rsid w:val="00814606"/>
    <w:rsid w:val="00821FDD"/>
    <w:rsid w:val="00824950"/>
    <w:rsid w:val="0083410C"/>
    <w:rsid w:val="008362B8"/>
    <w:rsid w:val="00841345"/>
    <w:rsid w:val="008512BD"/>
    <w:rsid w:val="00854E3C"/>
    <w:rsid w:val="00857891"/>
    <w:rsid w:val="00861732"/>
    <w:rsid w:val="00871320"/>
    <w:rsid w:val="008715C8"/>
    <w:rsid w:val="0087491E"/>
    <w:rsid w:val="00893041"/>
    <w:rsid w:val="008A3FBA"/>
    <w:rsid w:val="008B6808"/>
    <w:rsid w:val="008C3E0A"/>
    <w:rsid w:val="008E079E"/>
    <w:rsid w:val="008F0333"/>
    <w:rsid w:val="009136B2"/>
    <w:rsid w:val="00922AFC"/>
    <w:rsid w:val="009362AE"/>
    <w:rsid w:val="00963ED1"/>
    <w:rsid w:val="0097270C"/>
    <w:rsid w:val="009800C2"/>
    <w:rsid w:val="00980A7D"/>
    <w:rsid w:val="00983349"/>
    <w:rsid w:val="0098565B"/>
    <w:rsid w:val="00987372"/>
    <w:rsid w:val="009A1B32"/>
    <w:rsid w:val="009A5DEA"/>
    <w:rsid w:val="009B1A46"/>
    <w:rsid w:val="009C47D1"/>
    <w:rsid w:val="009F1565"/>
    <w:rsid w:val="009F2945"/>
    <w:rsid w:val="00A0403E"/>
    <w:rsid w:val="00A0418A"/>
    <w:rsid w:val="00A05C89"/>
    <w:rsid w:val="00A06CCC"/>
    <w:rsid w:val="00A10314"/>
    <w:rsid w:val="00A216C2"/>
    <w:rsid w:val="00A235EF"/>
    <w:rsid w:val="00A2386E"/>
    <w:rsid w:val="00A42923"/>
    <w:rsid w:val="00A45D52"/>
    <w:rsid w:val="00A46F6A"/>
    <w:rsid w:val="00A57172"/>
    <w:rsid w:val="00A6623F"/>
    <w:rsid w:val="00A70434"/>
    <w:rsid w:val="00A8062A"/>
    <w:rsid w:val="00A96DDE"/>
    <w:rsid w:val="00AA372D"/>
    <w:rsid w:val="00AB35AE"/>
    <w:rsid w:val="00AB5641"/>
    <w:rsid w:val="00AC4336"/>
    <w:rsid w:val="00AC765E"/>
    <w:rsid w:val="00AD10E9"/>
    <w:rsid w:val="00AE1F97"/>
    <w:rsid w:val="00AE23A5"/>
    <w:rsid w:val="00AE4282"/>
    <w:rsid w:val="00AE7696"/>
    <w:rsid w:val="00AF16FF"/>
    <w:rsid w:val="00AF4D8D"/>
    <w:rsid w:val="00AF67C2"/>
    <w:rsid w:val="00B3244F"/>
    <w:rsid w:val="00B36E51"/>
    <w:rsid w:val="00B47A10"/>
    <w:rsid w:val="00B52FED"/>
    <w:rsid w:val="00B53BB9"/>
    <w:rsid w:val="00B56626"/>
    <w:rsid w:val="00B611C4"/>
    <w:rsid w:val="00B6413E"/>
    <w:rsid w:val="00B65E50"/>
    <w:rsid w:val="00B81980"/>
    <w:rsid w:val="00B918CD"/>
    <w:rsid w:val="00B918DD"/>
    <w:rsid w:val="00B92775"/>
    <w:rsid w:val="00B96140"/>
    <w:rsid w:val="00BA2B03"/>
    <w:rsid w:val="00BB0489"/>
    <w:rsid w:val="00BB3BC1"/>
    <w:rsid w:val="00BC241B"/>
    <w:rsid w:val="00BD0EAC"/>
    <w:rsid w:val="00BE4597"/>
    <w:rsid w:val="00BE747F"/>
    <w:rsid w:val="00BE7AB0"/>
    <w:rsid w:val="00BF4B27"/>
    <w:rsid w:val="00BF6441"/>
    <w:rsid w:val="00C03033"/>
    <w:rsid w:val="00C2748C"/>
    <w:rsid w:val="00C37C41"/>
    <w:rsid w:val="00C40EDB"/>
    <w:rsid w:val="00C41E09"/>
    <w:rsid w:val="00C512C7"/>
    <w:rsid w:val="00C60D6E"/>
    <w:rsid w:val="00C62585"/>
    <w:rsid w:val="00C75E16"/>
    <w:rsid w:val="00C94BB9"/>
    <w:rsid w:val="00CA07DC"/>
    <w:rsid w:val="00CB15C7"/>
    <w:rsid w:val="00CB3589"/>
    <w:rsid w:val="00CB3D3E"/>
    <w:rsid w:val="00CD65C7"/>
    <w:rsid w:val="00CD6E3A"/>
    <w:rsid w:val="00CF2EAC"/>
    <w:rsid w:val="00CF3CAB"/>
    <w:rsid w:val="00D030B5"/>
    <w:rsid w:val="00D17CD8"/>
    <w:rsid w:val="00D22152"/>
    <w:rsid w:val="00D31BA8"/>
    <w:rsid w:val="00D64F69"/>
    <w:rsid w:val="00D8400C"/>
    <w:rsid w:val="00D840E2"/>
    <w:rsid w:val="00D86EC2"/>
    <w:rsid w:val="00D87E49"/>
    <w:rsid w:val="00DA118C"/>
    <w:rsid w:val="00DA13AC"/>
    <w:rsid w:val="00DA2C52"/>
    <w:rsid w:val="00DB1676"/>
    <w:rsid w:val="00DE233C"/>
    <w:rsid w:val="00DE50AF"/>
    <w:rsid w:val="00DF4C30"/>
    <w:rsid w:val="00E13F99"/>
    <w:rsid w:val="00E47F87"/>
    <w:rsid w:val="00E52635"/>
    <w:rsid w:val="00E5423C"/>
    <w:rsid w:val="00E66796"/>
    <w:rsid w:val="00E762FF"/>
    <w:rsid w:val="00E904D1"/>
    <w:rsid w:val="00E92C8B"/>
    <w:rsid w:val="00E94292"/>
    <w:rsid w:val="00EA2C4D"/>
    <w:rsid w:val="00EA52E9"/>
    <w:rsid w:val="00EA7B66"/>
    <w:rsid w:val="00EC71E1"/>
    <w:rsid w:val="00EE4D82"/>
    <w:rsid w:val="00F00C8E"/>
    <w:rsid w:val="00F0347D"/>
    <w:rsid w:val="00F07B28"/>
    <w:rsid w:val="00F147FD"/>
    <w:rsid w:val="00F21ECE"/>
    <w:rsid w:val="00F27C1C"/>
    <w:rsid w:val="00F357C8"/>
    <w:rsid w:val="00F45848"/>
    <w:rsid w:val="00F474DB"/>
    <w:rsid w:val="00F62809"/>
    <w:rsid w:val="00F6503E"/>
    <w:rsid w:val="00F70180"/>
    <w:rsid w:val="00F727B6"/>
    <w:rsid w:val="00F7531A"/>
    <w:rsid w:val="00F7675D"/>
    <w:rsid w:val="00F82179"/>
    <w:rsid w:val="00F96087"/>
    <w:rsid w:val="00FA0C6D"/>
    <w:rsid w:val="00FA4600"/>
    <w:rsid w:val="00FC47EE"/>
    <w:rsid w:val="00FD0CD4"/>
    <w:rsid w:val="00FD18C4"/>
    <w:rsid w:val="00FE5C8A"/>
    <w:rsid w:val="00FF1BB9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9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3BB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53BB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53BB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BB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3BB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3">
    <w:name w:val="О"/>
    <w:uiPriority w:val="99"/>
    <w:rsid w:val="00B53BB9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63ED1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7C8"/>
    <w:rPr>
      <w:lang w:val="uk-UA"/>
    </w:rPr>
  </w:style>
  <w:style w:type="paragraph" w:styleId="a7">
    <w:name w:val="footer"/>
    <w:basedOn w:val="a"/>
    <w:link w:val="a8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7C8"/>
    <w:rPr>
      <w:lang w:val="uk-UA"/>
    </w:rPr>
  </w:style>
  <w:style w:type="paragraph" w:customStyle="1" w:styleId="11">
    <w:name w:val="Без интервала1"/>
    <w:rsid w:val="004B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qFormat/>
    <w:rsid w:val="006772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729D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AF4D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0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0F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EF"/>
    <w:rPr>
      <w:rFonts w:ascii="Tahoma" w:hAnsi="Tahoma" w:cs="Tahoma"/>
      <w:sz w:val="16"/>
      <w:szCs w:val="16"/>
      <w:lang w:val="uk-UA"/>
    </w:rPr>
  </w:style>
  <w:style w:type="paragraph" w:styleId="ae">
    <w:name w:val="Title"/>
    <w:basedOn w:val="a"/>
    <w:link w:val="af"/>
    <w:qFormat/>
    <w:rsid w:val="00913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f">
    <w:name w:val="Название Знак"/>
    <w:basedOn w:val="a0"/>
    <w:link w:val="ae"/>
    <w:rsid w:val="009136B2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f0">
    <w:name w:val="Body Text Indent"/>
    <w:basedOn w:val="a"/>
    <w:link w:val="af1"/>
    <w:uiPriority w:val="99"/>
    <w:semiHidden/>
    <w:rsid w:val="008A3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A3F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_"/>
    <w:basedOn w:val="a0"/>
    <w:link w:val="22"/>
    <w:rsid w:val="00727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2EF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9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3BB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53BB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53BB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BB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3BB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3">
    <w:name w:val="О"/>
    <w:uiPriority w:val="99"/>
    <w:rsid w:val="00B53BB9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63ED1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7C8"/>
    <w:rPr>
      <w:lang w:val="uk-UA"/>
    </w:rPr>
  </w:style>
  <w:style w:type="paragraph" w:styleId="a7">
    <w:name w:val="footer"/>
    <w:basedOn w:val="a"/>
    <w:link w:val="a8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7C8"/>
    <w:rPr>
      <w:lang w:val="uk-UA"/>
    </w:rPr>
  </w:style>
  <w:style w:type="paragraph" w:customStyle="1" w:styleId="11">
    <w:name w:val="Без интервала1"/>
    <w:rsid w:val="004B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qFormat/>
    <w:rsid w:val="006772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729D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AF4D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0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0F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EF"/>
    <w:rPr>
      <w:rFonts w:ascii="Tahoma" w:hAnsi="Tahoma" w:cs="Tahoma"/>
      <w:sz w:val="16"/>
      <w:szCs w:val="16"/>
      <w:lang w:val="uk-UA"/>
    </w:rPr>
  </w:style>
  <w:style w:type="paragraph" w:styleId="ae">
    <w:name w:val="Title"/>
    <w:basedOn w:val="a"/>
    <w:link w:val="af"/>
    <w:qFormat/>
    <w:rsid w:val="00913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f">
    <w:name w:val="Название Знак"/>
    <w:basedOn w:val="a0"/>
    <w:link w:val="ae"/>
    <w:rsid w:val="009136B2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f0">
    <w:name w:val="Body Text Indent"/>
    <w:basedOn w:val="a"/>
    <w:link w:val="af1"/>
    <w:uiPriority w:val="99"/>
    <w:semiHidden/>
    <w:rsid w:val="008A3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A3F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_"/>
    <w:basedOn w:val="a0"/>
    <w:link w:val="22"/>
    <w:rsid w:val="00727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2EF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73D718-2E9A-4C09-AEBE-BEB1B256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2026-02-10T13:02:00Z</cp:lastPrinted>
  <dcterms:created xsi:type="dcterms:W3CDTF">2021-12-30T13:53:00Z</dcterms:created>
  <dcterms:modified xsi:type="dcterms:W3CDTF">2026-02-10T13:02:00Z</dcterms:modified>
</cp:coreProperties>
</file>