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16 серпня 2022 р. № 918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w:t>
      </w:r>
    </w:p>
    <w:p>
      <w:pPr>
        <w:pStyle w:val="rvps18"/>
        <w:spacing w:before="150" w:after="300"/>
        <w:ind w:left="450" w:right="450"/>
        <w:rPr>
          <w:i/>
          <w:iCs/>
          <w:lang w:val="uk" w:eastAsia="uk"/>
        </w:rPr>
      </w:pPr>
      <w:bookmarkStart w:id="2" w:name="n51"/>
      <w:bookmarkEnd w:id="2"/>
      <w:r>
        <w:rPr>
          <w:i/>
          <w:iCs/>
          <w:lang w:val="uk" w:eastAsia="uk"/>
        </w:rPr>
        <w:t xml:space="preserve">{Із змінами, внесеними згідно з Постановами КМ </w:t>
      </w:r>
      <w:r>
        <w:rPr>
          <w:i/>
          <w:iCs/>
          <w:lang w:val="uk" w:eastAsia="uk"/>
        </w:rPr>
        <w:br/>
      </w:r>
      <w:hyperlink r:id="rId5" w:anchor="n2" w:tgtFrame="_blank" w:history="1">
        <w:r>
          <w:rPr>
            <w:rStyle w:val="arvts96"/>
            <w:b w:val="0"/>
            <w:bCs w:val="0"/>
            <w:i w:val="0"/>
            <w:iCs w:val="0"/>
            <w:lang w:val="uk" w:eastAsia="uk"/>
          </w:rPr>
          <w:t>№ 1294 від 18.11.2022</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300 від 15.03.2024</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947 від 20.08.2024</w:t>
        </w:r>
      </w:hyperlink>
      <w:r>
        <w:rPr>
          <w:i/>
          <w:iCs/>
          <w:lang w:val="uk" w:eastAsia="uk"/>
        </w:rPr>
        <w:t xml:space="preserve"> </w:t>
      </w:r>
      <w:r>
        <w:rPr>
          <w:i/>
          <w:iCs/>
          <w:lang w:val="uk" w:eastAsia="uk"/>
        </w:rPr>
        <w:br/>
      </w:r>
      <w:hyperlink r:id="rId8" w:anchor="n11" w:tgtFrame="_blank" w:history="1">
        <w:r>
          <w:rPr>
            <w:rStyle w:val="arvts96"/>
            <w:b w:val="0"/>
            <w:bCs w:val="0"/>
            <w:i w:val="0"/>
            <w:iCs w:val="0"/>
            <w:lang w:val="uk" w:eastAsia="uk"/>
          </w:rPr>
          <w:t>№ 1407 від 10.12.2024</w:t>
        </w:r>
      </w:hyperlink>
      <w:r>
        <w:rPr>
          <w:i/>
          <w:iCs/>
          <w:lang w:val="uk" w:eastAsia="uk"/>
        </w:rPr>
        <w:t xml:space="preserve"> </w:t>
      </w:r>
      <w:r>
        <w:rPr>
          <w:i/>
          <w:iCs/>
          <w:lang w:val="uk" w:eastAsia="uk"/>
        </w:rPr>
        <w:br/>
      </w:r>
      <w:hyperlink r:id="rId9" w:anchor="n59" w:tgtFrame="_blank" w:history="1">
        <w:r>
          <w:rPr>
            <w:rStyle w:val="arvts96"/>
            <w:b w:val="0"/>
            <w:bCs w:val="0"/>
            <w:i w:val="0"/>
            <w:iCs w:val="0"/>
            <w:lang w:val="uk" w:eastAsia="uk"/>
          </w:rPr>
          <w:t>№ 641 від 04.06.2025</w:t>
        </w:r>
      </w:hyperlink>
      <w:r>
        <w:rPr>
          <w:i/>
          <w:iCs/>
          <w:lang w:val="uk" w:eastAsia="uk"/>
        </w:rPr>
        <w:t xml:space="preserve"> </w:t>
      </w:r>
      <w:r>
        <w:rPr>
          <w:i/>
          <w:iCs/>
          <w:lang w:val="uk" w:eastAsia="uk"/>
        </w:rPr>
        <w:br/>
      </w:r>
      <w:hyperlink r:id="rId10" w:anchor="n38" w:tgtFrame="_blank" w:history="1">
        <w:r>
          <w:rPr>
            <w:rStyle w:val="arvts96"/>
            <w:b w:val="0"/>
            <w:bCs w:val="0"/>
            <w:i w:val="0"/>
            <w:iCs w:val="0"/>
            <w:lang w:val="uk" w:eastAsia="uk"/>
          </w:rPr>
          <w:t>№ 1625 від 10.12.2025</w:t>
        </w:r>
      </w:hyperlink>
      <w:r>
        <w:rPr>
          <w:i/>
          <w:iCs/>
          <w:lang w:val="uk" w:eastAsia="uk"/>
        </w:rPr>
        <w:t xml:space="preserve"> </w:t>
      </w:r>
      <w:r>
        <w:rPr>
          <w:i/>
          <w:iCs/>
          <w:lang w:val="uk" w:eastAsia="uk"/>
        </w:rPr>
        <w:br/>
      </w:r>
      <w:hyperlink r:id="rId11" w:anchor="n277" w:tgtFrame="_blank" w:history="1">
        <w:r>
          <w:rPr>
            <w:rStyle w:val="arvts96"/>
            <w:b w:val="0"/>
            <w:bCs w:val="0"/>
            <w:i w:val="0"/>
            <w:iCs w:val="0"/>
            <w:lang w:val="uk" w:eastAsia="uk"/>
          </w:rPr>
          <w:t>№ 1653 від 10.12.2025</w:t>
        </w:r>
      </w:hyperlink>
      <w:r>
        <w:rPr>
          <w:i/>
          <w:iCs/>
          <w:lang w:val="uk" w:eastAsia="uk"/>
        </w:rPr>
        <w:t>}</w:t>
      </w:r>
    </w:p>
    <w:p>
      <w:pPr>
        <w:pStyle w:val="rvps2"/>
        <w:spacing w:before="0" w:after="150"/>
        <w:ind w:left="0" w:right="0"/>
        <w:rPr>
          <w:lang w:val="uk" w:eastAsia="uk"/>
        </w:rPr>
      </w:pPr>
      <w:bookmarkStart w:id="3" w:name="n4"/>
      <w:bookmarkEnd w:id="3"/>
      <w:r>
        <w:rPr>
          <w:lang w:val="uk" w:eastAsia="uk"/>
        </w:rPr>
        <w:t xml:space="preserve">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4" w:name="n5"/>
      <w:bookmarkEnd w:id="4"/>
      <w:r>
        <w:rPr>
          <w:lang w:val="uk" w:eastAsia="uk"/>
        </w:rPr>
        <w:t xml:space="preserve">Затвердити </w:t>
      </w:r>
      <w:hyperlink w:anchor="n8" w:history="1">
        <w:r>
          <w:rPr>
            <w:rStyle w:val="arvts99"/>
            <w:b w:val="0"/>
            <w:bCs w:val="0"/>
            <w:i w:val="0"/>
            <w:iCs w:val="0"/>
            <w:lang w:val="uk" w:eastAsia="uk"/>
          </w:rPr>
          <w:t>Порядок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w:t>
        </w:r>
      </w:hyperlink>
      <w:r>
        <w:rPr>
          <w:lang w:val="uk" w:eastAsia="uk"/>
        </w:rPr>
        <w:t>, що додається.</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5" w:name="n6"/>
            <w:bookmarkEnd w:id="5"/>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75</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6" w:name="n50"/>
      <w:bookmarkEnd w:id="6"/>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7" w:name="n7"/>
            <w:bookmarkEnd w:id="7"/>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16 серпня 2022 р. № 918</w:t>
            </w:r>
          </w:p>
        </w:tc>
      </w:tr>
    </w:tbl>
    <w:p>
      <w:pPr>
        <w:pStyle w:val="rvps6"/>
        <w:spacing w:before="300" w:after="450"/>
        <w:ind w:left="450" w:right="450"/>
        <w:rPr>
          <w:lang w:val="uk" w:eastAsia="uk"/>
        </w:rPr>
      </w:pPr>
      <w:bookmarkStart w:id="8" w:name="n8"/>
      <w:bookmarkEnd w:id="8"/>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w:t>
      </w:r>
    </w:p>
    <w:p>
      <w:pPr>
        <w:pStyle w:val="rvps2"/>
        <w:spacing w:before="0" w:after="150"/>
        <w:ind w:left="0" w:right="0"/>
        <w:rPr>
          <w:i/>
          <w:iCs/>
          <w:lang w:val="uk" w:eastAsia="uk"/>
        </w:rPr>
      </w:pPr>
      <w:bookmarkStart w:id="9" w:name="n112"/>
      <w:bookmarkEnd w:id="9"/>
      <w:r>
        <w:rPr>
          <w:rStyle w:val="spanrvts46"/>
          <w:b w:val="0"/>
          <w:bCs w:val="0"/>
          <w:i/>
          <w:iCs/>
          <w:lang w:val="uk" w:eastAsia="uk"/>
        </w:rPr>
        <w:t xml:space="preserve">{У тексті Порядку слово “Мінагрополітики” замінено словом “Мінекономіки” згідно з Постановою КМ </w:t>
      </w:r>
      <w:hyperlink r:id="rId11" w:anchor="n277" w:tgtFrame="_blank" w:history="1">
        <w:r>
          <w:rPr>
            <w:rStyle w:val="arvts100"/>
            <w:b w:val="0"/>
            <w:bCs w:val="0"/>
            <w:i/>
            <w:iCs/>
            <w:lang w:val="uk" w:eastAsia="uk"/>
          </w:rPr>
          <w:t>№ 1653 від 10.12.2025</w:t>
        </w:r>
      </w:hyperlink>
      <w:r>
        <w:rPr>
          <w:rStyle w:val="spanrvts46"/>
          <w:b w:val="0"/>
          <w:bCs w:val="0"/>
          <w:i/>
          <w:iCs/>
          <w:lang w:val="uk" w:eastAsia="uk"/>
        </w:rPr>
        <w:t>}</w:t>
      </w:r>
    </w:p>
    <w:p>
      <w:pPr>
        <w:pStyle w:val="rvps2"/>
        <w:spacing w:before="0" w:after="150"/>
        <w:ind w:left="0" w:right="0"/>
        <w:rPr>
          <w:lang w:val="uk" w:eastAsia="uk"/>
        </w:rPr>
      </w:pPr>
      <w:bookmarkStart w:id="10" w:name="n9"/>
      <w:bookmarkEnd w:id="10"/>
      <w:r>
        <w:rPr>
          <w:lang w:val="uk" w:eastAsia="uk"/>
        </w:rPr>
        <w:t>1. Цей Порядок визначає механізм використання коштів, передбачених у державному бюджеті за бюджетною програмою “Підтримка фермерських господарств та інших виробників сільськогосподарської продукції” (далі - бюджетні кошти), що надаються з метою забезпечення безперебійного виробництва сільськогосподарської продукції, підвищення рівня продовольчої безпеки та економічної стійкості України.</w:t>
      </w:r>
    </w:p>
    <w:p>
      <w:pPr>
        <w:pStyle w:val="rvps2"/>
        <w:spacing w:before="0" w:after="150"/>
        <w:ind w:left="0" w:right="0"/>
        <w:rPr>
          <w:i/>
          <w:iCs/>
          <w:lang w:val="uk" w:eastAsia="uk"/>
        </w:rPr>
      </w:pPr>
      <w:bookmarkStart w:id="11" w:name="n108"/>
      <w:bookmarkEnd w:id="11"/>
      <w:r>
        <w:rPr>
          <w:rStyle w:val="spanrvts46"/>
          <w:b w:val="0"/>
          <w:bCs w:val="0"/>
          <w:i/>
          <w:iCs/>
          <w:lang w:val="uk" w:eastAsia="uk"/>
        </w:rPr>
        <w:t xml:space="preserve">{Пункт 1 із змінами, внесеними згідно з Постановою КМ </w:t>
      </w:r>
      <w:hyperlink r:id="rId8" w:anchor="n12" w:tgtFrame="_blank" w:history="1">
        <w:r>
          <w:rPr>
            <w:rStyle w:val="arvts100"/>
            <w:b w:val="0"/>
            <w:bCs w:val="0"/>
            <w:i/>
            <w:iCs/>
            <w:lang w:val="uk" w:eastAsia="uk"/>
          </w:rPr>
          <w:t>№ 1407 від 10.12.2024</w:t>
        </w:r>
      </w:hyperlink>
      <w:r>
        <w:rPr>
          <w:rStyle w:val="spanrvts46"/>
          <w:b w:val="0"/>
          <w:bCs w:val="0"/>
          <w:i/>
          <w:iCs/>
          <w:lang w:val="uk" w:eastAsia="uk"/>
        </w:rPr>
        <w:t>}</w:t>
      </w:r>
    </w:p>
    <w:p>
      <w:pPr>
        <w:pStyle w:val="rvps2"/>
        <w:spacing w:before="0" w:after="150"/>
        <w:ind w:left="0" w:right="0"/>
        <w:rPr>
          <w:lang w:val="uk" w:eastAsia="uk"/>
        </w:rPr>
      </w:pPr>
      <w:bookmarkStart w:id="12" w:name="n10"/>
      <w:bookmarkEnd w:id="12"/>
      <w:r>
        <w:rPr>
          <w:lang w:val="uk" w:eastAsia="uk"/>
        </w:rPr>
        <w:t xml:space="preserve">2. Головним розпорядником бюджетних коштів та відповідальним виконавцем бюджетної програми є Мінекономіки. Розпорядником бюджетних коштів нижчого рівня є Український державний фонд підтримки фермерських господарств (далі - Укрдержфонд) та його регіональні відділення. </w:t>
      </w:r>
    </w:p>
    <w:p>
      <w:pPr>
        <w:pStyle w:val="rvps2"/>
        <w:spacing w:before="0" w:after="150"/>
        <w:ind w:left="0" w:right="0"/>
        <w:rPr>
          <w:lang w:val="uk" w:eastAsia="uk"/>
        </w:rPr>
      </w:pPr>
      <w:bookmarkStart w:id="13" w:name="n11"/>
      <w:bookmarkEnd w:id="13"/>
      <w:r>
        <w:rPr>
          <w:lang w:val="uk" w:eastAsia="uk"/>
        </w:rPr>
        <w:t xml:space="preserve">3. Отримувачами бюджетних коштів є фермерські господарства та інші виробники сільськогосподарської продукції (далі - отримувачі). </w:t>
      </w:r>
    </w:p>
    <w:p>
      <w:pPr>
        <w:pStyle w:val="rvps2"/>
        <w:spacing w:before="0" w:after="150"/>
        <w:ind w:left="0" w:right="0"/>
        <w:rPr>
          <w:lang w:val="uk" w:eastAsia="uk"/>
        </w:rPr>
      </w:pPr>
      <w:bookmarkStart w:id="14" w:name="n12"/>
      <w:bookmarkEnd w:id="14"/>
      <w:r>
        <w:rPr>
          <w:lang w:val="uk" w:eastAsia="uk"/>
        </w:rPr>
        <w:t xml:space="preserve">4. Бюджетні кошти надаються за умови, що відомості про отримувача, визначені </w:t>
      </w:r>
      <w:hyperlink r:id="rId12" w:anchor="n193" w:tgtFrame="_blank" w:history="1">
        <w:r>
          <w:rPr>
            <w:rStyle w:val="arvts96"/>
            <w:b w:val="0"/>
            <w:bCs w:val="0"/>
            <w:i w:val="0"/>
            <w:iCs w:val="0"/>
            <w:lang w:val="uk" w:eastAsia="uk"/>
          </w:rPr>
          <w:t>переліком інформації підсистем (розділів) інформаційно-комунікаційної системи “Державний аграрний реєстр”</w:t>
        </w:r>
      </w:hyperlink>
      <w:r>
        <w:rPr>
          <w:lang w:val="uk" w:eastAsia="uk"/>
        </w:rPr>
        <w:t>, затвердженим постановою Кабінету Міністрів України від 13 травня 2025 р. № 549 “Деякі питання функціонування інформаційно-комунікаційної системи “Державний аграрний реєстр” (Офіційний вісник України, 2025 р., № 46, ст. 3160), внесені до інформаційно-комунікаційної системи “Державний аграрний реєстр” (далі - Державний аграрний реєстр).</w:t>
      </w:r>
    </w:p>
    <w:p>
      <w:pPr>
        <w:pStyle w:val="rvps2"/>
        <w:spacing w:before="0" w:after="150"/>
        <w:ind w:left="0" w:right="0"/>
        <w:rPr>
          <w:i/>
          <w:iCs/>
          <w:lang w:val="uk" w:eastAsia="uk"/>
        </w:rPr>
      </w:pPr>
      <w:bookmarkStart w:id="15" w:name="n53"/>
      <w:bookmarkEnd w:id="15"/>
      <w:r>
        <w:rPr>
          <w:rStyle w:val="spanrvts46"/>
          <w:b w:val="0"/>
          <w:bCs w:val="0"/>
          <w:i/>
          <w:iCs/>
          <w:lang w:val="uk" w:eastAsia="uk"/>
        </w:rPr>
        <w:t xml:space="preserve">{Абзац перший пункту 4 в редакції Постанов КМ </w:t>
      </w:r>
      <w:hyperlink r:id="rId6" w:anchor="n10" w:tgtFrame="_blank" w:history="1">
        <w:r>
          <w:rPr>
            <w:rStyle w:val="arvts100"/>
            <w:b w:val="0"/>
            <w:bCs w:val="0"/>
            <w:i/>
            <w:iCs/>
            <w:lang w:val="uk" w:eastAsia="uk"/>
          </w:rPr>
          <w:t>№ 300 від 15.03.2024</w:t>
        </w:r>
      </w:hyperlink>
      <w:r>
        <w:rPr>
          <w:rStyle w:val="spanrvts11"/>
          <w:b w:val="0"/>
          <w:bCs w:val="0"/>
          <w:i/>
          <w:iCs/>
          <w:lang w:val="uk" w:eastAsia="uk"/>
        </w:rPr>
        <w:t xml:space="preserve">, </w:t>
      </w:r>
      <w:hyperlink r:id="rId10" w:anchor="n40" w:tgtFrame="_blank" w:history="1">
        <w:r>
          <w:rPr>
            <w:rStyle w:val="arvts100"/>
            <w:b w:val="0"/>
            <w:bCs w:val="0"/>
            <w:i/>
            <w:iCs/>
            <w:lang w:val="uk" w:eastAsia="uk"/>
          </w:rPr>
          <w:t>№ 1625 від 10.12.2025</w:t>
        </w:r>
      </w:hyperlink>
      <w:r>
        <w:rPr>
          <w:rStyle w:val="spanrvts46"/>
          <w:b w:val="0"/>
          <w:bCs w:val="0"/>
          <w:i/>
          <w:iCs/>
          <w:lang w:val="uk" w:eastAsia="uk"/>
        </w:rPr>
        <w:t>}</w:t>
      </w:r>
    </w:p>
    <w:p>
      <w:pPr>
        <w:pStyle w:val="rvps2"/>
        <w:spacing w:before="0" w:after="150"/>
        <w:ind w:left="0" w:right="0"/>
        <w:rPr>
          <w:lang w:val="uk" w:eastAsia="uk"/>
        </w:rPr>
      </w:pPr>
      <w:bookmarkStart w:id="16" w:name="n13"/>
      <w:bookmarkEnd w:id="16"/>
      <w:r>
        <w:rPr>
          <w:lang w:val="uk" w:eastAsia="uk"/>
        </w:rPr>
        <w:t>Отримувач повинен мати у власності та/або користуванні від одного до ста двадцяти гектарів земель сільськогосподарського призначення або мати у власності від трьох до ста голів великої рогатої худоби (корів) чи від п’яти до п’ятисот голів маточного поголів’я кіз та/або овець, ідентифікованих та зареєстрованих відповідно до законодавства.</w:t>
      </w:r>
    </w:p>
    <w:p>
      <w:pPr>
        <w:pStyle w:val="rvps2"/>
        <w:spacing w:before="0" w:after="150"/>
        <w:ind w:left="0" w:right="0"/>
        <w:rPr>
          <w:i/>
          <w:iCs/>
          <w:lang w:val="uk" w:eastAsia="uk"/>
        </w:rPr>
      </w:pPr>
      <w:bookmarkStart w:id="17" w:name="n54"/>
      <w:bookmarkEnd w:id="17"/>
      <w:r>
        <w:rPr>
          <w:rStyle w:val="spanrvts46"/>
          <w:b w:val="0"/>
          <w:bCs w:val="0"/>
          <w:i/>
          <w:iCs/>
          <w:lang w:val="uk" w:eastAsia="uk"/>
        </w:rPr>
        <w:t xml:space="preserve">{Абзац другий пункту 4 із змінами, внесеними згідно з Постановою КМ </w:t>
      </w:r>
      <w:hyperlink r:id="rId6" w:anchor="n12"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18" w:name="n14"/>
      <w:bookmarkEnd w:id="18"/>
      <w:r>
        <w:rPr>
          <w:lang w:val="uk" w:eastAsia="uk"/>
        </w:rPr>
        <w:t>У разі коли земельна ділянка, що перебуває у власності/оренді отримувача, передана ним у користування іншій особі на підставі договору оренди чи суборенди, право на отримання бюджетних коштів на один гектар земель сільськогосподарського призначення має лише орендар/суборендар.</w:t>
      </w:r>
    </w:p>
    <w:p>
      <w:pPr>
        <w:pStyle w:val="rvps2"/>
        <w:spacing w:before="0" w:after="150"/>
        <w:ind w:left="0" w:right="0"/>
        <w:rPr>
          <w:lang w:val="uk" w:eastAsia="uk"/>
        </w:rPr>
      </w:pPr>
      <w:bookmarkStart w:id="19" w:name="n15"/>
      <w:bookmarkEnd w:id="19"/>
      <w:r>
        <w:rPr>
          <w:lang w:val="uk" w:eastAsia="uk"/>
        </w:rPr>
        <w:t>5. Бюджетні кошти надаються для надання підтримки за такими напрямами:</w:t>
      </w:r>
    </w:p>
    <w:p>
      <w:pPr>
        <w:pStyle w:val="rvps2"/>
        <w:spacing w:before="0" w:after="150"/>
        <w:ind w:left="0" w:right="0"/>
        <w:rPr>
          <w:lang w:val="uk" w:eastAsia="uk"/>
        </w:rPr>
      </w:pPr>
      <w:bookmarkStart w:id="20" w:name="n56"/>
      <w:bookmarkEnd w:id="20"/>
      <w:r>
        <w:rPr>
          <w:lang w:val="uk" w:eastAsia="uk"/>
        </w:rPr>
        <w:t>бюджетна субсидія на одиницю оброблюваних угідь сільськогосподарського призначення (1 гектар) для провадження сільськогосподарської діяльності;</w:t>
      </w:r>
    </w:p>
    <w:p>
      <w:pPr>
        <w:pStyle w:val="rvps2"/>
        <w:spacing w:before="0" w:after="150"/>
        <w:ind w:left="0" w:right="0"/>
        <w:rPr>
          <w:lang w:val="uk" w:eastAsia="uk"/>
        </w:rPr>
      </w:pPr>
      <w:bookmarkStart w:id="21" w:name="n57"/>
      <w:bookmarkEnd w:id="21"/>
      <w:r>
        <w:rPr>
          <w:lang w:val="uk" w:eastAsia="uk"/>
        </w:rPr>
        <w:t>спеціальна бюджетна дотація для утримання великої рогатої худоби (корів) усіх напрямів продуктивності;</w:t>
      </w:r>
    </w:p>
    <w:p>
      <w:pPr>
        <w:pStyle w:val="rvps2"/>
        <w:spacing w:before="0" w:after="150"/>
        <w:ind w:left="0" w:right="0"/>
        <w:rPr>
          <w:lang w:val="uk" w:eastAsia="uk"/>
        </w:rPr>
      </w:pPr>
      <w:bookmarkStart w:id="22" w:name="n58"/>
      <w:bookmarkEnd w:id="22"/>
      <w:r>
        <w:rPr>
          <w:lang w:val="uk" w:eastAsia="uk"/>
        </w:rPr>
        <w:t>спеціальна бюджетна дотація для утримання маточного поголів’я кіз та/або овець;</w:t>
      </w:r>
    </w:p>
    <w:p>
      <w:pPr>
        <w:pStyle w:val="rvps2"/>
        <w:spacing w:before="0" w:after="150"/>
        <w:ind w:left="0" w:right="0"/>
        <w:rPr>
          <w:lang w:val="uk" w:eastAsia="uk"/>
        </w:rPr>
      </w:pPr>
      <w:bookmarkStart w:id="23" w:name="n59"/>
      <w:bookmarkEnd w:id="23"/>
      <w:r>
        <w:rPr>
          <w:lang w:val="uk" w:eastAsia="uk"/>
        </w:rPr>
        <w:t>окрема бюджетна субсидія на одиницю оброблюваних угідь сільськогосподарського призначення (1 гектар) для провадження сільськогосподарської діяльності на територіях, на яких завершено ведення бойових дій, та на територіях, тимчасову окупацію яких завершено.</w:t>
      </w:r>
    </w:p>
    <w:p>
      <w:pPr>
        <w:pStyle w:val="rvps2"/>
        <w:spacing w:before="0" w:after="150"/>
        <w:ind w:left="0" w:right="0"/>
        <w:rPr>
          <w:lang w:val="uk" w:eastAsia="uk"/>
        </w:rPr>
      </w:pPr>
      <w:bookmarkStart w:id="24" w:name="n60"/>
      <w:bookmarkEnd w:id="24"/>
      <w:r>
        <w:rPr>
          <w:lang w:val="uk" w:eastAsia="uk"/>
        </w:rPr>
        <w:t xml:space="preserve">До територій, визначених </w:t>
      </w:r>
      <w:hyperlink w:anchor="n59" w:history="1">
        <w:r>
          <w:rPr>
            <w:rStyle w:val="arvts99"/>
            <w:b w:val="0"/>
            <w:bCs w:val="0"/>
            <w:i w:val="0"/>
            <w:iCs w:val="0"/>
            <w:lang w:val="uk" w:eastAsia="uk"/>
          </w:rPr>
          <w:t>абзацом п’ятим</w:t>
        </w:r>
      </w:hyperlink>
      <w:r>
        <w:rPr>
          <w:lang w:val="uk" w:eastAsia="uk"/>
        </w:rPr>
        <w:t xml:space="preserve"> цього пункту, належать території, включені до </w:t>
      </w:r>
      <w:hyperlink r:id="rId13"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затвердженого Мінрозвитку, зокрема території:</w:t>
      </w:r>
    </w:p>
    <w:p>
      <w:pPr>
        <w:pStyle w:val="rvps2"/>
        <w:spacing w:before="0" w:after="150"/>
        <w:ind w:left="0" w:right="0"/>
        <w:rPr>
          <w:i/>
          <w:iCs/>
          <w:lang w:val="uk" w:eastAsia="uk"/>
        </w:rPr>
      </w:pPr>
      <w:bookmarkStart w:id="25" w:name="n110"/>
      <w:bookmarkEnd w:id="25"/>
      <w:r>
        <w:rPr>
          <w:rStyle w:val="spanrvts46"/>
          <w:b w:val="0"/>
          <w:bCs w:val="0"/>
          <w:i/>
          <w:iCs/>
          <w:lang w:val="uk" w:eastAsia="uk"/>
        </w:rPr>
        <w:t xml:space="preserve">{Абзац шостий пункту 5 із змінами, внесеними згідно з Постановою КМ </w:t>
      </w:r>
      <w:hyperlink r:id="rId9" w:anchor="n59" w:tgtFrame="_blank" w:history="1">
        <w:r>
          <w:rPr>
            <w:rStyle w:val="arvts100"/>
            <w:b w:val="0"/>
            <w:bCs w:val="0"/>
            <w:i/>
            <w:iCs/>
            <w:lang w:val="uk" w:eastAsia="uk"/>
          </w:rPr>
          <w:t>№ 641 від 04.06.2025</w:t>
        </w:r>
      </w:hyperlink>
      <w:r>
        <w:rPr>
          <w:rStyle w:val="spanrvts46"/>
          <w:b w:val="0"/>
          <w:bCs w:val="0"/>
          <w:i/>
          <w:iCs/>
          <w:lang w:val="uk" w:eastAsia="uk"/>
        </w:rPr>
        <w:t xml:space="preserve"> - застосовується з 20 березня 2025 року}</w:t>
      </w:r>
    </w:p>
    <w:p>
      <w:pPr>
        <w:pStyle w:val="rvps2"/>
        <w:spacing w:before="0" w:after="150"/>
        <w:ind w:left="0" w:right="0"/>
        <w:rPr>
          <w:lang w:val="uk" w:eastAsia="uk"/>
        </w:rPr>
      </w:pPr>
      <w:bookmarkStart w:id="26" w:name="n61"/>
      <w:bookmarkEnd w:id="26"/>
      <w:r>
        <w:rPr>
          <w:lang w:val="uk" w:eastAsia="uk"/>
        </w:rPr>
        <w:t>можливих бойових дій;</w:t>
      </w:r>
    </w:p>
    <w:p>
      <w:pPr>
        <w:pStyle w:val="rvps2"/>
        <w:spacing w:before="0" w:after="150"/>
        <w:ind w:left="0" w:right="0"/>
        <w:rPr>
          <w:lang w:val="uk" w:eastAsia="uk"/>
        </w:rPr>
      </w:pPr>
      <w:bookmarkStart w:id="27" w:name="n62"/>
      <w:bookmarkEnd w:id="27"/>
      <w:r>
        <w:rPr>
          <w:lang w:val="uk" w:eastAsia="uk"/>
        </w:rPr>
        <w:t>активних бойових дій (для яких визначена дата завершення бойових дій);</w:t>
      </w:r>
    </w:p>
    <w:p>
      <w:pPr>
        <w:pStyle w:val="rvps2"/>
        <w:spacing w:before="0" w:after="150"/>
        <w:ind w:left="0" w:right="0"/>
        <w:rPr>
          <w:lang w:val="uk" w:eastAsia="uk"/>
        </w:rPr>
      </w:pPr>
      <w:bookmarkStart w:id="28" w:name="n63"/>
      <w:bookmarkEnd w:id="28"/>
      <w:r>
        <w:rPr>
          <w:lang w:val="uk" w:eastAsia="uk"/>
        </w:rPr>
        <w:t>активних бойових дій, на яких функціонують державні електронні інформаційні ресурси (для яких визначена дата завершення бойових дій);</w:t>
      </w:r>
    </w:p>
    <w:p>
      <w:pPr>
        <w:pStyle w:val="rvps2"/>
        <w:spacing w:before="0" w:after="150"/>
        <w:ind w:left="0" w:right="0"/>
        <w:rPr>
          <w:lang w:val="uk" w:eastAsia="uk"/>
        </w:rPr>
      </w:pPr>
      <w:bookmarkStart w:id="29" w:name="n64"/>
      <w:bookmarkEnd w:id="29"/>
      <w:r>
        <w:rPr>
          <w:lang w:val="uk" w:eastAsia="uk"/>
        </w:rPr>
        <w:t>тимчасово окупованих Російською Федерацією територіях України (для яких визначена дата завершення тимчасової окупації).</w:t>
      </w:r>
    </w:p>
    <w:p>
      <w:pPr>
        <w:pStyle w:val="rvps2"/>
        <w:spacing w:before="0" w:after="150"/>
        <w:ind w:left="0" w:right="0"/>
        <w:rPr>
          <w:lang w:val="uk" w:eastAsia="uk"/>
        </w:rPr>
      </w:pPr>
      <w:bookmarkStart w:id="30" w:name="n65"/>
      <w:bookmarkEnd w:id="30"/>
      <w:r>
        <w:rPr>
          <w:lang w:val="uk" w:eastAsia="uk"/>
        </w:rPr>
        <w:t xml:space="preserve">Право на підтримку за напрямом, визначеним </w:t>
      </w:r>
      <w:hyperlink w:anchor="n59" w:history="1">
        <w:r>
          <w:rPr>
            <w:rStyle w:val="arvts99"/>
            <w:b w:val="0"/>
            <w:bCs w:val="0"/>
            <w:i w:val="0"/>
            <w:iCs w:val="0"/>
            <w:lang w:val="uk" w:eastAsia="uk"/>
          </w:rPr>
          <w:t>абзацом п’ятим</w:t>
        </w:r>
      </w:hyperlink>
      <w:r>
        <w:rPr>
          <w:lang w:val="uk" w:eastAsia="uk"/>
        </w:rPr>
        <w:t xml:space="preserve"> цього пункту, мають отримувачі, що перебувають та ведуть господарську діяльність на територіях, визначених </w:t>
      </w:r>
      <w:hyperlink w:anchor="n60" w:history="1">
        <w:r>
          <w:rPr>
            <w:rStyle w:val="arvts99"/>
            <w:b w:val="0"/>
            <w:bCs w:val="0"/>
            <w:i w:val="0"/>
            <w:iCs w:val="0"/>
            <w:lang w:val="uk" w:eastAsia="uk"/>
          </w:rPr>
          <w:t>абзацами шостим - десятим</w:t>
        </w:r>
      </w:hyperlink>
      <w:r>
        <w:rPr>
          <w:lang w:val="uk" w:eastAsia="uk"/>
        </w:rPr>
        <w:t xml:space="preserve"> цього пункту.</w:t>
      </w:r>
    </w:p>
    <w:p>
      <w:pPr>
        <w:pStyle w:val="rvps2"/>
        <w:spacing w:before="0" w:after="150"/>
        <w:ind w:left="0" w:right="0"/>
        <w:rPr>
          <w:lang w:val="uk" w:eastAsia="uk"/>
        </w:rPr>
      </w:pPr>
      <w:bookmarkStart w:id="31" w:name="n101"/>
      <w:bookmarkEnd w:id="31"/>
      <w:r>
        <w:rPr>
          <w:lang w:val="uk" w:eastAsia="uk"/>
        </w:rPr>
        <w:t xml:space="preserve">Отримувачі, які одночасно мають право на підтримку за напрямами, визначеними </w:t>
      </w:r>
      <w:hyperlink w:anchor="n56" w:history="1">
        <w:r>
          <w:rPr>
            <w:rStyle w:val="arvts99"/>
            <w:b w:val="0"/>
            <w:bCs w:val="0"/>
            <w:i w:val="0"/>
            <w:iCs w:val="0"/>
            <w:lang w:val="uk" w:eastAsia="uk"/>
          </w:rPr>
          <w:t>абзацами другим</w:t>
        </w:r>
      </w:hyperlink>
      <w:r>
        <w:rPr>
          <w:lang w:val="uk" w:eastAsia="uk"/>
        </w:rPr>
        <w:t xml:space="preserve"> та </w:t>
      </w:r>
      <w:hyperlink w:anchor="n59" w:history="1">
        <w:r>
          <w:rPr>
            <w:rStyle w:val="arvts99"/>
            <w:b w:val="0"/>
            <w:bCs w:val="0"/>
            <w:i w:val="0"/>
            <w:iCs w:val="0"/>
            <w:lang w:val="uk" w:eastAsia="uk"/>
          </w:rPr>
          <w:t>п’ятим</w:t>
        </w:r>
      </w:hyperlink>
      <w:r>
        <w:rPr>
          <w:lang w:val="uk" w:eastAsia="uk"/>
        </w:rPr>
        <w:t xml:space="preserve"> цього пункту, самостійно обирають один із зазначених напрямів.</w:t>
      </w:r>
    </w:p>
    <w:p>
      <w:pPr>
        <w:pStyle w:val="rvps2"/>
        <w:spacing w:before="0" w:after="150"/>
        <w:ind w:left="0" w:right="0"/>
        <w:rPr>
          <w:i/>
          <w:iCs/>
          <w:lang w:val="uk" w:eastAsia="uk"/>
        </w:rPr>
      </w:pPr>
      <w:bookmarkStart w:id="32" w:name="n103"/>
      <w:bookmarkEnd w:id="32"/>
      <w:r>
        <w:rPr>
          <w:rStyle w:val="spanrvts46"/>
          <w:b w:val="0"/>
          <w:bCs w:val="0"/>
          <w:i/>
          <w:iCs/>
          <w:lang w:val="uk" w:eastAsia="uk"/>
        </w:rPr>
        <w:t xml:space="preserve">{Пункт 5 доповнено новим абзацом згідно з Постановою КМ </w:t>
      </w:r>
      <w:hyperlink r:id="rId7" w:anchor="n10" w:tgtFrame="_blank" w:history="1">
        <w:r>
          <w:rPr>
            <w:rStyle w:val="arvts100"/>
            <w:b w:val="0"/>
            <w:bCs w:val="0"/>
            <w:i/>
            <w:iCs/>
            <w:lang w:val="uk" w:eastAsia="uk"/>
          </w:rPr>
          <w:t>№ 947 від 20.08.2024</w:t>
        </w:r>
      </w:hyperlink>
      <w:r>
        <w:rPr>
          <w:rStyle w:val="spanrvts46"/>
          <w:b w:val="0"/>
          <w:bCs w:val="0"/>
          <w:i/>
          <w:iCs/>
          <w:lang w:val="uk" w:eastAsia="uk"/>
        </w:rPr>
        <w:t>}</w:t>
      </w:r>
    </w:p>
    <w:p>
      <w:pPr>
        <w:pStyle w:val="rvps2"/>
        <w:spacing w:before="0" w:after="150"/>
        <w:ind w:left="0" w:right="0"/>
        <w:rPr>
          <w:lang w:val="uk" w:eastAsia="uk"/>
        </w:rPr>
      </w:pPr>
      <w:bookmarkStart w:id="33" w:name="n102"/>
      <w:bookmarkEnd w:id="33"/>
      <w:r>
        <w:rPr>
          <w:lang w:val="uk" w:eastAsia="uk"/>
        </w:rPr>
        <w:t xml:space="preserve">У 2025 році право на отримання підтримки за напрямами, визначеними </w:t>
      </w:r>
      <w:hyperlink w:anchor="n56" w:history="1">
        <w:r>
          <w:rPr>
            <w:rStyle w:val="arvts99"/>
            <w:b w:val="0"/>
            <w:bCs w:val="0"/>
            <w:i w:val="0"/>
            <w:iCs w:val="0"/>
            <w:lang w:val="uk" w:eastAsia="uk"/>
          </w:rPr>
          <w:t>абзацами другим - п’ятим</w:t>
        </w:r>
      </w:hyperlink>
      <w:r>
        <w:rPr>
          <w:lang w:val="uk" w:eastAsia="uk"/>
        </w:rPr>
        <w:t xml:space="preserve"> цього пункту, мають отримувачі, які не отримували бюджетні кошти у 2024 році.</w:t>
      </w:r>
    </w:p>
    <w:p>
      <w:pPr>
        <w:pStyle w:val="rvps2"/>
        <w:spacing w:before="0" w:after="150"/>
        <w:ind w:left="0" w:right="0"/>
        <w:rPr>
          <w:i/>
          <w:iCs/>
          <w:lang w:val="uk" w:eastAsia="uk"/>
        </w:rPr>
      </w:pPr>
      <w:bookmarkStart w:id="34" w:name="n104"/>
      <w:bookmarkEnd w:id="34"/>
      <w:r>
        <w:rPr>
          <w:rStyle w:val="spanrvts46"/>
          <w:b w:val="0"/>
          <w:bCs w:val="0"/>
          <w:i/>
          <w:iCs/>
          <w:lang w:val="uk" w:eastAsia="uk"/>
        </w:rPr>
        <w:t xml:space="preserve">{Пункт 5 доповнено новим абзацом згідно з Постановою КМ </w:t>
      </w:r>
      <w:hyperlink r:id="rId7" w:anchor="n10" w:tgtFrame="_blank" w:history="1">
        <w:r>
          <w:rPr>
            <w:rStyle w:val="arvts100"/>
            <w:b w:val="0"/>
            <w:bCs w:val="0"/>
            <w:i/>
            <w:iCs/>
            <w:lang w:val="uk" w:eastAsia="uk"/>
          </w:rPr>
          <w:t>№ 947 від 20.08.2024</w:t>
        </w:r>
      </w:hyperlink>
      <w:r>
        <w:rPr>
          <w:rStyle w:val="spanrvts46"/>
          <w:b w:val="0"/>
          <w:bCs w:val="0"/>
          <w:i/>
          <w:iCs/>
          <w:lang w:val="uk" w:eastAsia="uk"/>
        </w:rPr>
        <w:t xml:space="preserve">; в редакції Постанови КМ </w:t>
      </w:r>
      <w:hyperlink r:id="rId8" w:anchor="n13" w:tgtFrame="_blank" w:history="1">
        <w:r>
          <w:rPr>
            <w:rStyle w:val="arvts100"/>
            <w:b w:val="0"/>
            <w:bCs w:val="0"/>
            <w:i/>
            <w:iCs/>
            <w:lang w:val="uk" w:eastAsia="uk"/>
          </w:rPr>
          <w:t>№ 1407 від 10.12.2024</w:t>
        </w:r>
      </w:hyperlink>
      <w:r>
        <w:rPr>
          <w:rStyle w:val="spanrvts46"/>
          <w:b w:val="0"/>
          <w:bCs w:val="0"/>
          <w:i/>
          <w:iCs/>
          <w:lang w:val="uk" w:eastAsia="uk"/>
        </w:rPr>
        <w:t>}</w:t>
      </w:r>
    </w:p>
    <w:p>
      <w:pPr>
        <w:pStyle w:val="rvps2"/>
        <w:spacing w:before="0" w:after="150"/>
        <w:ind w:left="0" w:right="0"/>
        <w:rPr>
          <w:lang w:val="uk" w:eastAsia="uk"/>
        </w:rPr>
      </w:pPr>
      <w:bookmarkStart w:id="35" w:name="n66"/>
      <w:bookmarkEnd w:id="35"/>
      <w:r>
        <w:rPr>
          <w:lang w:val="uk" w:eastAsia="uk"/>
        </w:rPr>
        <w:t xml:space="preserve">Отримувачі, які мають право на підтримку за напрямом, визначеним </w:t>
      </w:r>
      <w:hyperlink w:anchor="n59" w:history="1">
        <w:r>
          <w:rPr>
            <w:rStyle w:val="arvts99"/>
            <w:b w:val="0"/>
            <w:bCs w:val="0"/>
            <w:i w:val="0"/>
            <w:iCs w:val="0"/>
            <w:lang w:val="uk" w:eastAsia="uk"/>
          </w:rPr>
          <w:t>абзацом п’ятим</w:t>
        </w:r>
      </w:hyperlink>
      <w:r>
        <w:rPr>
          <w:lang w:val="uk" w:eastAsia="uk"/>
        </w:rPr>
        <w:t xml:space="preserve"> цього пункту, також мають право скористатися підтримкою за одним із напрямів, визначених </w:t>
      </w:r>
      <w:hyperlink w:anchor="n57" w:history="1">
        <w:r>
          <w:rPr>
            <w:rStyle w:val="arvts99"/>
            <w:b w:val="0"/>
            <w:bCs w:val="0"/>
            <w:i w:val="0"/>
            <w:iCs w:val="0"/>
            <w:lang w:val="uk" w:eastAsia="uk"/>
          </w:rPr>
          <w:t>абзацами третім</w:t>
        </w:r>
      </w:hyperlink>
      <w:r>
        <w:rPr>
          <w:lang w:val="uk" w:eastAsia="uk"/>
        </w:rPr>
        <w:t xml:space="preserve">, </w:t>
      </w:r>
      <w:hyperlink w:anchor="n58" w:history="1">
        <w:r>
          <w:rPr>
            <w:rStyle w:val="arvts99"/>
            <w:b w:val="0"/>
            <w:bCs w:val="0"/>
            <w:i w:val="0"/>
            <w:iCs w:val="0"/>
            <w:lang w:val="uk" w:eastAsia="uk"/>
          </w:rPr>
          <w:t>четвертим</w:t>
        </w:r>
      </w:hyperlink>
      <w:r>
        <w:rPr>
          <w:lang w:val="uk" w:eastAsia="uk"/>
        </w:rPr>
        <w:t xml:space="preserve"> цього пункту.</w:t>
      </w:r>
    </w:p>
    <w:p>
      <w:pPr>
        <w:pStyle w:val="rvps2"/>
        <w:spacing w:before="0" w:after="150"/>
        <w:ind w:left="0" w:right="0"/>
        <w:rPr>
          <w:i/>
          <w:iCs/>
          <w:lang w:val="uk" w:eastAsia="uk"/>
        </w:rPr>
      </w:pPr>
      <w:bookmarkStart w:id="36" w:name="n105"/>
      <w:bookmarkEnd w:id="36"/>
      <w:r>
        <w:rPr>
          <w:rStyle w:val="spanrvts46"/>
          <w:b w:val="0"/>
          <w:bCs w:val="0"/>
          <w:i/>
          <w:iCs/>
          <w:lang w:val="uk" w:eastAsia="uk"/>
        </w:rPr>
        <w:t xml:space="preserve">{Абзац чотирнадцятий пункту 5 із змінами, внесеними згідно з Постановою КМ </w:t>
      </w:r>
      <w:hyperlink r:id="rId7" w:anchor="n14" w:tgtFrame="_blank" w:history="1">
        <w:r>
          <w:rPr>
            <w:rStyle w:val="arvts100"/>
            <w:b w:val="0"/>
            <w:bCs w:val="0"/>
            <w:i/>
            <w:iCs/>
            <w:lang w:val="uk" w:eastAsia="uk"/>
          </w:rPr>
          <w:t>№ 947 від 20.08.2024</w:t>
        </w:r>
      </w:hyperlink>
      <w:r>
        <w:rPr>
          <w:rStyle w:val="spanrvts46"/>
          <w:b w:val="0"/>
          <w:bCs w:val="0"/>
          <w:i/>
          <w:iCs/>
          <w:lang w:val="uk" w:eastAsia="uk"/>
        </w:rPr>
        <w:t>}</w:t>
      </w:r>
    </w:p>
    <w:p>
      <w:pPr>
        <w:pStyle w:val="rvps2"/>
        <w:spacing w:before="0" w:after="150"/>
        <w:ind w:left="0" w:right="0"/>
        <w:rPr>
          <w:lang w:val="uk" w:eastAsia="uk"/>
        </w:rPr>
      </w:pPr>
      <w:bookmarkStart w:id="37" w:name="n67"/>
      <w:bookmarkEnd w:id="37"/>
      <w:r>
        <w:rPr>
          <w:lang w:val="uk" w:eastAsia="uk"/>
        </w:rPr>
        <w:t xml:space="preserve">Отримувачі, не визначені </w:t>
      </w:r>
      <w:hyperlink w:anchor="n65" w:history="1">
        <w:r>
          <w:rPr>
            <w:rStyle w:val="arvts99"/>
            <w:b w:val="0"/>
            <w:bCs w:val="0"/>
            <w:i w:val="0"/>
            <w:iCs w:val="0"/>
            <w:lang w:val="uk" w:eastAsia="uk"/>
          </w:rPr>
          <w:t>абзацом одинадцятим</w:t>
        </w:r>
      </w:hyperlink>
      <w:r>
        <w:rPr>
          <w:lang w:val="uk" w:eastAsia="uk"/>
        </w:rPr>
        <w:t xml:space="preserve"> цього пункту, мають право скористатися одноразово підтримкою лише за одним із напрямів, визначених </w:t>
      </w:r>
      <w:hyperlink w:anchor="n56" w:history="1">
        <w:r>
          <w:rPr>
            <w:rStyle w:val="arvts99"/>
            <w:b w:val="0"/>
            <w:bCs w:val="0"/>
            <w:i w:val="0"/>
            <w:iCs w:val="0"/>
            <w:lang w:val="uk" w:eastAsia="uk"/>
          </w:rPr>
          <w:t>абзацами другим - четвертим</w:t>
        </w:r>
      </w:hyperlink>
      <w:r>
        <w:rPr>
          <w:lang w:val="uk" w:eastAsia="uk"/>
        </w:rPr>
        <w:t xml:space="preserve"> цього пункту.</w:t>
      </w:r>
    </w:p>
    <w:p>
      <w:pPr>
        <w:pStyle w:val="rvps2"/>
        <w:spacing w:before="0" w:after="150"/>
        <w:ind w:left="0" w:right="0"/>
        <w:rPr>
          <w:lang w:val="uk" w:eastAsia="uk"/>
        </w:rPr>
      </w:pPr>
      <w:bookmarkStart w:id="38" w:name="n68"/>
      <w:bookmarkEnd w:id="38"/>
      <w:r>
        <w:rPr>
          <w:lang w:val="uk" w:eastAsia="uk"/>
        </w:rPr>
        <w:t>Розподіл бюджетних коштів за напрямами, передбаченими цим пунктом, затверджується Мінекономіки.</w:t>
      </w:r>
    </w:p>
    <w:p>
      <w:pPr>
        <w:pStyle w:val="rvps2"/>
        <w:spacing w:before="0" w:after="150"/>
        <w:ind w:left="0" w:right="0"/>
        <w:rPr>
          <w:i/>
          <w:iCs/>
          <w:lang w:val="uk" w:eastAsia="uk"/>
        </w:rPr>
      </w:pPr>
      <w:bookmarkStart w:id="39" w:name="n55"/>
      <w:bookmarkEnd w:id="39"/>
      <w:r>
        <w:rPr>
          <w:rStyle w:val="spanrvts46"/>
          <w:b w:val="0"/>
          <w:bCs w:val="0"/>
          <w:i/>
          <w:iCs/>
          <w:lang w:val="uk" w:eastAsia="uk"/>
        </w:rPr>
        <w:t xml:space="preserve">{Пункт 5 в редакції Постанови КМ </w:t>
      </w:r>
      <w:hyperlink r:id="rId6" w:anchor="n13"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40" w:name="n69"/>
      <w:bookmarkEnd w:id="40"/>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Бюджетні кошти надаються для покриття понесених отримувачами витрат на проведення польових робіт, оплату спожитої електроенергії та ветеринарних послуг, придбання паливно-мастильних матеріалів, засобів захисту рослин, ветеринарних препаратів, кормів, насіння, добрив, утримання корів, маточного поголів’я овець та/або кіз.</w:t>
      </w:r>
    </w:p>
    <w:p>
      <w:pPr>
        <w:pStyle w:val="rvps2"/>
        <w:spacing w:before="0" w:after="150"/>
        <w:ind w:left="0" w:right="0"/>
        <w:rPr>
          <w:i/>
          <w:iCs/>
          <w:lang w:val="uk" w:eastAsia="uk"/>
        </w:rPr>
      </w:pPr>
      <w:bookmarkStart w:id="41" w:name="n70"/>
      <w:bookmarkEnd w:id="41"/>
      <w:r>
        <w:rPr>
          <w:rStyle w:val="spanrvts46"/>
          <w:b w:val="0"/>
          <w:bCs w:val="0"/>
          <w:i/>
          <w:iCs/>
          <w:lang w:val="uk" w:eastAsia="uk"/>
        </w:rPr>
        <w:t>{Порядок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6" w:anchor="n28"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42" w:name="n20"/>
      <w:bookmarkEnd w:id="42"/>
      <w:r>
        <w:rPr>
          <w:lang w:val="uk" w:eastAsia="uk"/>
        </w:rPr>
        <w:t xml:space="preserve">6. Заявка на отримання бюджетних коштів подається через особистий електронний кабінет до Державного аграрного реєстру отримувачами: </w:t>
      </w:r>
    </w:p>
    <w:p>
      <w:pPr>
        <w:pStyle w:val="rvps2"/>
        <w:spacing w:before="0" w:after="150"/>
        <w:ind w:left="0" w:right="0"/>
        <w:rPr>
          <w:lang w:val="uk" w:eastAsia="uk"/>
        </w:rPr>
      </w:pPr>
      <w:bookmarkStart w:id="43" w:name="n21"/>
      <w:bookmarkEnd w:id="43"/>
      <w:r>
        <w:rPr>
          <w:lang w:val="uk" w:eastAsia="uk"/>
        </w:rPr>
        <w:t xml:space="preserve">громадянами України, юридичними особами, засновниками яких є виключно фізичні особи - громадяни України; </w:t>
      </w:r>
    </w:p>
    <w:p>
      <w:pPr>
        <w:pStyle w:val="rvps2"/>
        <w:spacing w:before="0" w:after="150"/>
        <w:ind w:left="0" w:right="0"/>
        <w:rPr>
          <w:lang w:val="uk" w:eastAsia="uk"/>
        </w:rPr>
      </w:pPr>
      <w:bookmarkStart w:id="44" w:name="n22"/>
      <w:bookmarkEnd w:id="44"/>
      <w:r>
        <w:rPr>
          <w:lang w:val="uk" w:eastAsia="uk"/>
        </w:rPr>
        <w:t xml:space="preserve">стосовно яких не застосовуються судові процедури банкрутства (неплатоспроможності), передбачені </w:t>
      </w:r>
      <w:hyperlink r:id="rId14" w:tgtFrame="_blank" w:history="1">
        <w:r>
          <w:rPr>
            <w:rStyle w:val="arvts96"/>
            <w:b w:val="0"/>
            <w:bCs w:val="0"/>
            <w:i w:val="0"/>
            <w:iCs w:val="0"/>
            <w:lang w:val="uk" w:eastAsia="uk"/>
          </w:rPr>
          <w:t>Кодексом України з процедур банкрутства</w:t>
        </w:r>
      </w:hyperlink>
      <w:r>
        <w:rPr>
          <w:lang w:val="uk" w:eastAsia="uk"/>
        </w:rPr>
        <w:t>, та/або які не перебувають на стадії ліквідації;</w:t>
      </w:r>
    </w:p>
    <w:p>
      <w:pPr>
        <w:pStyle w:val="rvps2"/>
        <w:spacing w:before="0" w:after="150"/>
        <w:ind w:left="0" w:right="0"/>
        <w:rPr>
          <w:lang w:val="uk" w:eastAsia="uk"/>
        </w:rPr>
      </w:pPr>
      <w:bookmarkStart w:id="45" w:name="n23"/>
      <w:bookmarkEnd w:id="45"/>
      <w:r>
        <w:rPr>
          <w:lang w:val="uk" w:eastAsia="uk"/>
        </w:rPr>
        <w:t>які не притягалися до кримінальної відповідальності та/або не мають незняту чи непогашену судимість, та/або не перебувають в розшуку;</w:t>
      </w:r>
    </w:p>
    <w:p>
      <w:pPr>
        <w:pStyle w:val="rvps2"/>
        <w:spacing w:before="0" w:after="150"/>
        <w:ind w:left="0" w:right="0"/>
        <w:rPr>
          <w:lang w:val="uk" w:eastAsia="uk"/>
        </w:rPr>
      </w:pPr>
      <w:bookmarkStart w:id="46" w:name="n24"/>
      <w:bookmarkEnd w:id="46"/>
      <w:r>
        <w:rPr>
          <w:lang w:val="uk" w:eastAsia="uk"/>
        </w:rPr>
        <w:t xml:space="preserve">до яких не застосовувалися спеціальні економічні та інші обмежувальні заходи (санкції) відповідно до </w:t>
      </w:r>
      <w:hyperlink r:id="rId15" w:tgtFrame="_blank" w:history="1">
        <w:r>
          <w:rPr>
            <w:rStyle w:val="arvts96"/>
            <w:b w:val="0"/>
            <w:bCs w:val="0"/>
            <w:i w:val="0"/>
            <w:iCs w:val="0"/>
            <w:lang w:val="uk" w:eastAsia="uk"/>
          </w:rPr>
          <w:t>Закону України</w:t>
        </w:r>
      </w:hyperlink>
      <w:r>
        <w:rPr>
          <w:lang w:val="uk" w:eastAsia="uk"/>
        </w:rPr>
        <w:t xml:space="preserve"> “Про санкції”;</w:t>
      </w:r>
    </w:p>
    <w:p>
      <w:pPr>
        <w:pStyle w:val="rvps2"/>
        <w:spacing w:before="0" w:after="150"/>
        <w:ind w:left="0" w:right="0"/>
        <w:rPr>
          <w:lang w:val="uk" w:eastAsia="uk"/>
        </w:rPr>
      </w:pPr>
      <w:bookmarkStart w:id="47" w:name="n25"/>
      <w:bookmarkEnd w:id="47"/>
      <w:r>
        <w:rPr>
          <w:lang w:val="uk" w:eastAsia="uk"/>
        </w:rPr>
        <w:t xml:space="preserve">які станом на дату подання заявки фактично не перебувають та не провадять свою господарську діяльність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13"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затвердженого Мінрозвитку, для яких не визначена дата завершення бойових дій або тимчасової окупації;</w:t>
      </w:r>
    </w:p>
    <w:p>
      <w:pPr>
        <w:pStyle w:val="rvps2"/>
        <w:spacing w:before="0" w:after="150"/>
        <w:ind w:left="0" w:right="0"/>
        <w:rPr>
          <w:i/>
          <w:iCs/>
          <w:lang w:val="uk" w:eastAsia="uk"/>
        </w:rPr>
      </w:pPr>
      <w:bookmarkStart w:id="48" w:name="n71"/>
      <w:bookmarkEnd w:id="48"/>
      <w:r>
        <w:rPr>
          <w:rStyle w:val="spanrvts46"/>
          <w:b w:val="0"/>
          <w:bCs w:val="0"/>
          <w:i/>
          <w:iCs/>
          <w:lang w:val="uk" w:eastAsia="uk"/>
        </w:rPr>
        <w:t xml:space="preserve">{Абзац шостий пункту 6 в редакції Постанови КМ </w:t>
      </w:r>
      <w:hyperlink r:id="rId6" w:anchor="n31" w:tgtFrame="_blank" w:history="1">
        <w:r>
          <w:rPr>
            <w:rStyle w:val="arvts100"/>
            <w:b w:val="0"/>
            <w:bCs w:val="0"/>
            <w:i/>
            <w:iCs/>
            <w:lang w:val="uk" w:eastAsia="uk"/>
          </w:rPr>
          <w:t>№ 300 від 15.03.2024</w:t>
        </w:r>
      </w:hyperlink>
      <w:r>
        <w:rPr>
          <w:rStyle w:val="spanrvts46"/>
          <w:b w:val="0"/>
          <w:bCs w:val="0"/>
          <w:i/>
          <w:iCs/>
          <w:lang w:val="uk" w:eastAsia="uk"/>
        </w:rPr>
        <w:t xml:space="preserve">; із змінами, внесеними згідно з Постановою КМ </w:t>
      </w:r>
      <w:hyperlink r:id="rId9" w:anchor="n59" w:tgtFrame="_blank" w:history="1">
        <w:r>
          <w:rPr>
            <w:rStyle w:val="arvts100"/>
            <w:b w:val="0"/>
            <w:bCs w:val="0"/>
            <w:i/>
            <w:iCs/>
            <w:lang w:val="uk" w:eastAsia="uk"/>
          </w:rPr>
          <w:t>№ 641 від 04.06.2025</w:t>
        </w:r>
      </w:hyperlink>
      <w:r>
        <w:rPr>
          <w:rStyle w:val="spanrvts46"/>
          <w:b w:val="0"/>
          <w:bCs w:val="0"/>
          <w:i/>
          <w:iCs/>
          <w:lang w:val="uk" w:eastAsia="uk"/>
        </w:rPr>
        <w:t xml:space="preserve"> - застосовується з 20 березня 2025 року}</w:t>
      </w:r>
    </w:p>
    <w:p>
      <w:pPr>
        <w:pStyle w:val="rvps2"/>
        <w:spacing w:before="0" w:after="150"/>
        <w:ind w:left="0" w:right="0"/>
        <w:rPr>
          <w:lang w:val="uk" w:eastAsia="uk"/>
        </w:rPr>
      </w:pPr>
      <w:bookmarkStart w:id="49" w:name="n26"/>
      <w:bookmarkEnd w:id="49"/>
      <w:r>
        <w:rPr>
          <w:lang w:val="uk" w:eastAsia="uk"/>
        </w:rPr>
        <w:t>які не мають заборгованості перед бюджетом;</w:t>
      </w:r>
    </w:p>
    <w:p>
      <w:pPr>
        <w:pStyle w:val="rvps2"/>
        <w:spacing w:before="0" w:after="150"/>
        <w:ind w:left="0" w:right="0"/>
        <w:rPr>
          <w:lang w:val="uk" w:eastAsia="uk"/>
        </w:rPr>
      </w:pPr>
      <w:bookmarkStart w:id="50" w:name="n27"/>
      <w:bookmarkEnd w:id="50"/>
      <w:r>
        <w:rPr>
          <w:lang w:val="uk" w:eastAsia="uk"/>
        </w:rPr>
        <w:t>які не провадять господарську діяльність на території Російської Федерації та Республіки Білорусь;</w:t>
      </w:r>
    </w:p>
    <w:p>
      <w:pPr>
        <w:pStyle w:val="rvps2"/>
        <w:spacing w:before="0" w:after="150"/>
        <w:ind w:left="0" w:right="0"/>
        <w:rPr>
          <w:lang w:val="uk" w:eastAsia="uk"/>
        </w:rPr>
      </w:pPr>
      <w:bookmarkStart w:id="51" w:name="n28"/>
      <w:bookmarkEnd w:id="51"/>
      <w:r>
        <w:rPr>
          <w:lang w:val="uk" w:eastAsia="uk"/>
        </w:rPr>
        <w:t>керівники та/або бенефіціарні власники яких не включені до Єдиного державного реєстру осіб, які вчинили корупційні або пов’язані з корупцією правопорушення.</w:t>
      </w:r>
    </w:p>
    <w:p>
      <w:pPr>
        <w:pStyle w:val="rvps2"/>
        <w:spacing w:before="0" w:after="150"/>
        <w:ind w:left="0" w:right="0"/>
        <w:rPr>
          <w:lang w:val="uk" w:eastAsia="uk"/>
        </w:rPr>
      </w:pPr>
      <w:bookmarkStart w:id="52" w:name="n29"/>
      <w:bookmarkEnd w:id="52"/>
      <w:r>
        <w:rPr>
          <w:lang w:val="uk" w:eastAsia="uk"/>
        </w:rPr>
        <w:t>На заявку накладається електронний підпис отримувача, що базується на кваліфікованому сертифікаті електронного підпису (далі - електронний підпис). Заявка вважається поданою з моменту її підписання шляхом накладення електронного підпису отримувачем.</w:t>
      </w:r>
    </w:p>
    <w:p>
      <w:pPr>
        <w:pStyle w:val="rvps2"/>
        <w:spacing w:before="0" w:after="150"/>
        <w:ind w:left="0" w:right="0"/>
        <w:rPr>
          <w:i/>
          <w:iCs/>
          <w:lang w:val="uk" w:eastAsia="uk"/>
        </w:rPr>
      </w:pPr>
      <w:bookmarkStart w:id="53" w:name="n72"/>
      <w:bookmarkEnd w:id="53"/>
      <w:r>
        <w:rPr>
          <w:rStyle w:val="spanrvts46"/>
          <w:b w:val="0"/>
          <w:bCs w:val="0"/>
          <w:i/>
          <w:iCs/>
          <w:lang w:val="uk" w:eastAsia="uk"/>
        </w:rPr>
        <w:t xml:space="preserve">{Абзац десятий пункту 6 із змінами, внесеними згідно з Постановами КМ </w:t>
      </w:r>
      <w:hyperlink r:id="rId6" w:anchor="n33" w:tgtFrame="_blank" w:history="1">
        <w:r>
          <w:rPr>
            <w:rStyle w:val="arvts100"/>
            <w:b w:val="0"/>
            <w:bCs w:val="0"/>
            <w:i/>
            <w:iCs/>
            <w:lang w:val="uk" w:eastAsia="uk"/>
          </w:rPr>
          <w:t>№ 300 від 15.03.2024</w:t>
        </w:r>
      </w:hyperlink>
      <w:r>
        <w:rPr>
          <w:rStyle w:val="spanrvts46"/>
          <w:b w:val="0"/>
          <w:bCs w:val="0"/>
          <w:i/>
          <w:iCs/>
          <w:lang w:val="uk" w:eastAsia="uk"/>
        </w:rPr>
        <w:t xml:space="preserve">, </w:t>
      </w:r>
      <w:hyperlink r:id="rId7" w:anchor="n15" w:tgtFrame="_blank" w:history="1">
        <w:r>
          <w:rPr>
            <w:rStyle w:val="arvts100"/>
            <w:b w:val="0"/>
            <w:bCs w:val="0"/>
            <w:i/>
            <w:iCs/>
            <w:lang w:val="uk" w:eastAsia="uk"/>
          </w:rPr>
          <w:t>№ 947 від 20.08.2024</w:t>
        </w:r>
      </w:hyperlink>
      <w:r>
        <w:rPr>
          <w:rStyle w:val="spanrvts46"/>
          <w:b w:val="0"/>
          <w:bCs w:val="0"/>
          <w:i/>
          <w:iCs/>
          <w:lang w:val="uk" w:eastAsia="uk"/>
        </w:rPr>
        <w:t>}</w:t>
      </w:r>
    </w:p>
    <w:p>
      <w:pPr>
        <w:pStyle w:val="rvps2"/>
        <w:spacing w:before="0" w:after="150"/>
        <w:ind w:left="0" w:right="0"/>
        <w:rPr>
          <w:lang w:val="uk" w:eastAsia="uk"/>
        </w:rPr>
      </w:pPr>
      <w:bookmarkStart w:id="54" w:name="n30"/>
      <w:bookmarkEnd w:id="54"/>
      <w:r>
        <w:rPr>
          <w:lang w:val="uk" w:eastAsia="uk"/>
        </w:rPr>
        <w:t xml:space="preserve">Форму заявки затверджує Мінекономіки з урахуванням вимог </w:t>
      </w:r>
      <w:hyperlink r:id="rId16" w:anchor="n285" w:tgtFrame="_blank" w:history="1">
        <w:r>
          <w:rPr>
            <w:rStyle w:val="arvts96"/>
            <w:b w:val="0"/>
            <w:bCs w:val="0"/>
            <w:i w:val="0"/>
            <w:iCs w:val="0"/>
            <w:lang w:val="uk" w:eastAsia="uk"/>
          </w:rPr>
          <w:t>статті 40</w:t>
        </w:r>
      </w:hyperlink>
      <w:r>
        <w:rPr>
          <w:lang w:val="uk" w:eastAsia="uk"/>
        </w:rPr>
        <w:t xml:space="preserve"> Закону України “Про адміністративну процедуру”.</w:t>
      </w:r>
    </w:p>
    <w:p>
      <w:pPr>
        <w:pStyle w:val="rvps2"/>
        <w:spacing w:before="0" w:after="150"/>
        <w:ind w:left="0" w:right="0"/>
        <w:rPr>
          <w:i/>
          <w:iCs/>
          <w:lang w:val="uk" w:eastAsia="uk"/>
        </w:rPr>
      </w:pPr>
      <w:bookmarkStart w:id="55" w:name="n73"/>
      <w:bookmarkEnd w:id="55"/>
      <w:r>
        <w:rPr>
          <w:rStyle w:val="spanrvts46"/>
          <w:b w:val="0"/>
          <w:bCs w:val="0"/>
          <w:i/>
          <w:iCs/>
          <w:lang w:val="uk" w:eastAsia="uk"/>
        </w:rPr>
        <w:t xml:space="preserve">{Абзац одинадцятий пункту 6 в редакції Постанови КМ </w:t>
      </w:r>
      <w:hyperlink r:id="rId6" w:anchor="n34"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56" w:name="n31"/>
      <w:bookmarkEnd w:id="56"/>
      <w:r>
        <w:rPr>
          <w:lang w:val="uk" w:eastAsia="uk"/>
        </w:rPr>
        <w:t>Відповідальність за достовірність відомостей, що містяться у заявці, несе отримувач.</w:t>
      </w:r>
    </w:p>
    <w:p>
      <w:pPr>
        <w:pStyle w:val="rvps2"/>
        <w:spacing w:before="0" w:after="150"/>
        <w:ind w:left="0" w:right="0"/>
        <w:rPr>
          <w:lang w:val="uk" w:eastAsia="uk"/>
        </w:rPr>
      </w:pPr>
      <w:bookmarkStart w:id="57" w:name="n74"/>
      <w:bookmarkEnd w:id="57"/>
      <w:r>
        <w:rPr>
          <w:lang w:val="uk" w:eastAsia="uk"/>
        </w:rPr>
        <w:t>Внесені отримувачем банківські реквізити для перерахування сум підтримки фіксуються в Державному аграрному реєстрі на момент підписання заявки.</w:t>
      </w:r>
    </w:p>
    <w:p>
      <w:pPr>
        <w:pStyle w:val="rvps2"/>
        <w:spacing w:before="0" w:after="150"/>
        <w:ind w:left="0" w:right="0"/>
        <w:rPr>
          <w:i/>
          <w:iCs/>
          <w:lang w:val="uk" w:eastAsia="uk"/>
        </w:rPr>
      </w:pPr>
      <w:bookmarkStart w:id="58" w:name="n77"/>
      <w:bookmarkEnd w:id="58"/>
      <w:r>
        <w:rPr>
          <w:rStyle w:val="spanrvts46"/>
          <w:b w:val="0"/>
          <w:bCs w:val="0"/>
          <w:i/>
          <w:iCs/>
          <w:lang w:val="uk" w:eastAsia="uk"/>
        </w:rPr>
        <w:t xml:space="preserve">{Пункт 6 доповнено абзацом згідно з Постановою КМ </w:t>
      </w:r>
      <w:hyperlink r:id="rId6" w:anchor="n36"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59" w:name="n75"/>
      <w:bookmarkEnd w:id="59"/>
      <w:r>
        <w:rPr>
          <w:lang w:val="uk" w:eastAsia="uk"/>
        </w:rPr>
        <w:t>Одночасно з поданням заявки отримувач підписує договір з Укрдержфондом про надання підтримки фермерським господарствам та іншим виробникам сільськогосподарської продукції шляхом накладання електронного підпису на заяву про приєднання до договору.</w:t>
      </w:r>
    </w:p>
    <w:p>
      <w:pPr>
        <w:pStyle w:val="rvps2"/>
        <w:spacing w:before="0" w:after="150"/>
        <w:ind w:left="0" w:right="0"/>
        <w:rPr>
          <w:i/>
          <w:iCs/>
          <w:lang w:val="uk" w:eastAsia="uk"/>
        </w:rPr>
      </w:pPr>
      <w:bookmarkStart w:id="60" w:name="n79"/>
      <w:bookmarkEnd w:id="60"/>
      <w:r>
        <w:rPr>
          <w:rStyle w:val="spanrvts46"/>
          <w:b w:val="0"/>
          <w:bCs w:val="0"/>
          <w:i/>
          <w:iCs/>
          <w:lang w:val="uk" w:eastAsia="uk"/>
        </w:rPr>
        <w:t xml:space="preserve">{Пункт 6 доповнено абзацом згідно з Постановою КМ </w:t>
      </w:r>
      <w:hyperlink r:id="rId6" w:anchor="n36"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61" w:name="n76"/>
      <w:bookmarkEnd w:id="61"/>
      <w:r>
        <w:rPr>
          <w:lang w:val="uk" w:eastAsia="uk"/>
        </w:rPr>
        <w:t xml:space="preserve">У договорі обов’язково зазначаються обрані з переліку, визначеного </w:t>
      </w:r>
      <w:hyperlink w:anchor="n69" w:history="1">
        <w:r>
          <w:rPr>
            <w:rStyle w:val="arvts99"/>
            <w:b w:val="0"/>
            <w:bCs w:val="0"/>
            <w:i w:val="0"/>
            <w:iCs w:val="0"/>
            <w:lang w:val="uk" w:eastAsia="uk"/>
          </w:rPr>
          <w:t>пунктом 5</w:t>
        </w:r>
      </w:hyperlink>
      <w:hyperlink w:anchor="n69"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цього Порядку, напрями витрат, на покриття яких використовуються кошти, невиконання або неналежне виконання яких є підставою для повернення отримувачем отриманих коштів.</w:t>
      </w:r>
    </w:p>
    <w:p>
      <w:pPr>
        <w:pStyle w:val="rvps2"/>
        <w:spacing w:before="0" w:after="150"/>
        <w:ind w:left="0" w:right="0"/>
        <w:rPr>
          <w:i/>
          <w:iCs/>
          <w:lang w:val="uk" w:eastAsia="uk"/>
        </w:rPr>
      </w:pPr>
      <w:bookmarkStart w:id="62" w:name="n80"/>
      <w:bookmarkEnd w:id="62"/>
      <w:r>
        <w:rPr>
          <w:rStyle w:val="spanrvts46"/>
          <w:b w:val="0"/>
          <w:bCs w:val="0"/>
          <w:i/>
          <w:iCs/>
          <w:lang w:val="uk" w:eastAsia="uk"/>
        </w:rPr>
        <w:t xml:space="preserve">{Пункт 6 доповнено абзацом згідно з Постановою КМ </w:t>
      </w:r>
      <w:hyperlink r:id="rId6" w:anchor="n36"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63" w:name="n32"/>
      <w:bookmarkEnd w:id="63"/>
      <w:r>
        <w:rPr>
          <w:lang w:val="uk" w:eastAsia="uk"/>
        </w:rPr>
        <w:t>7. Бюджетні кошти надаються отримувачам у вигляді:</w:t>
      </w:r>
    </w:p>
    <w:p>
      <w:pPr>
        <w:pStyle w:val="rvps2"/>
        <w:spacing w:before="0" w:after="150"/>
        <w:ind w:left="0" w:right="0"/>
        <w:rPr>
          <w:lang w:val="uk" w:eastAsia="uk"/>
        </w:rPr>
      </w:pPr>
      <w:bookmarkStart w:id="64" w:name="n82"/>
      <w:bookmarkEnd w:id="64"/>
      <w:r>
        <w:rPr>
          <w:lang w:val="uk" w:eastAsia="uk"/>
        </w:rPr>
        <w:t>бюджетної субсидії на одиницю оброблюваних угідь сільськогосподарського призначення (1 гектар) для провадження сільськогосподарської діяльності - у розмірі 4000 гривень на 1 гектар;</w:t>
      </w:r>
    </w:p>
    <w:p>
      <w:pPr>
        <w:pStyle w:val="rvps2"/>
        <w:spacing w:before="0" w:after="150"/>
        <w:ind w:left="0" w:right="0"/>
        <w:rPr>
          <w:lang w:val="uk" w:eastAsia="uk"/>
        </w:rPr>
      </w:pPr>
      <w:bookmarkStart w:id="65" w:name="n83"/>
      <w:bookmarkEnd w:id="65"/>
      <w:r>
        <w:rPr>
          <w:lang w:val="uk" w:eastAsia="uk"/>
        </w:rPr>
        <w:t>спеціальної бюджетної дотації для утримання великої рогатої худоби (корів) усіх напрямів продуктивності на кожну корову, яка перебуває у власності отримувача, ідентифікована та зареєстрована відповідно до законодавства станом на дату подання заявки, - у розмірі 7000 гривень на одну корову;</w:t>
      </w:r>
    </w:p>
    <w:p>
      <w:pPr>
        <w:pStyle w:val="rvps2"/>
        <w:spacing w:before="0" w:after="150"/>
        <w:ind w:left="0" w:right="0"/>
        <w:rPr>
          <w:lang w:val="uk" w:eastAsia="uk"/>
        </w:rPr>
      </w:pPr>
      <w:bookmarkStart w:id="66" w:name="n84"/>
      <w:bookmarkEnd w:id="66"/>
      <w:r>
        <w:rPr>
          <w:lang w:val="uk" w:eastAsia="uk"/>
        </w:rPr>
        <w:t>спеціальної бюджетної дотації для утримання маточного поголів’я кіз та/або овець на кожну голову, яка перебуває у власності отримувача, ідентифікована та зареєстрована відповідно до законодавства станом на дату подання заявки, - у розмірі 2000 гривень на одну голову кіз та/або овець;</w:t>
      </w:r>
    </w:p>
    <w:p>
      <w:pPr>
        <w:pStyle w:val="rvps2"/>
        <w:spacing w:before="0" w:after="150"/>
        <w:ind w:left="0" w:right="0"/>
        <w:rPr>
          <w:lang w:val="uk" w:eastAsia="uk"/>
        </w:rPr>
      </w:pPr>
      <w:bookmarkStart w:id="67" w:name="n85"/>
      <w:bookmarkEnd w:id="67"/>
      <w:r>
        <w:rPr>
          <w:lang w:val="uk" w:eastAsia="uk"/>
        </w:rPr>
        <w:t xml:space="preserve">окремої бюджетної субсидії на одиницю оброблюваних угідь сільськогосподарського призначення (1 гектар) для провадження сільськогосподарської діяльності на територіях, визначених </w:t>
      </w:r>
      <w:hyperlink w:anchor="n59" w:history="1">
        <w:r>
          <w:rPr>
            <w:rStyle w:val="arvts99"/>
            <w:b w:val="0"/>
            <w:bCs w:val="0"/>
            <w:i w:val="0"/>
            <w:iCs w:val="0"/>
            <w:lang w:val="uk" w:eastAsia="uk"/>
          </w:rPr>
          <w:t>абзацом п’ятим</w:t>
        </w:r>
      </w:hyperlink>
      <w:r>
        <w:rPr>
          <w:lang w:val="uk" w:eastAsia="uk"/>
        </w:rPr>
        <w:t xml:space="preserve"> пункту 5 цього Порядку, - у розмірі 8000 гривень на 1 гектар.</w:t>
      </w:r>
    </w:p>
    <w:p>
      <w:pPr>
        <w:pStyle w:val="rvps2"/>
        <w:spacing w:before="0" w:after="150"/>
        <w:ind w:left="0" w:right="0"/>
        <w:rPr>
          <w:lang w:val="uk" w:eastAsia="uk"/>
        </w:rPr>
      </w:pPr>
      <w:bookmarkStart w:id="68" w:name="n86"/>
      <w:bookmarkEnd w:id="68"/>
      <w:r>
        <w:rPr>
          <w:lang w:val="uk" w:eastAsia="uk"/>
        </w:rPr>
        <w:t>Заявка на отримання бюджетних коштів подається програмними засобами ведення Державного аграрного реєстру після оприлюднення у Державному аграрному реєстрі оголошення про початок прийому заявок з 1 лютого по 31 жовтня поточного бюджетного періоду.</w:t>
      </w:r>
    </w:p>
    <w:p>
      <w:pPr>
        <w:pStyle w:val="rvps2"/>
        <w:spacing w:before="0" w:after="150"/>
        <w:ind w:left="0" w:right="0"/>
        <w:rPr>
          <w:i/>
          <w:iCs/>
          <w:lang w:val="uk" w:eastAsia="uk"/>
        </w:rPr>
      </w:pPr>
      <w:bookmarkStart w:id="69" w:name="n106"/>
      <w:bookmarkEnd w:id="69"/>
      <w:r>
        <w:rPr>
          <w:rStyle w:val="spanrvts46"/>
          <w:b w:val="0"/>
          <w:bCs w:val="0"/>
          <w:i/>
          <w:iCs/>
          <w:lang w:val="uk" w:eastAsia="uk"/>
        </w:rPr>
        <w:t xml:space="preserve">{Абзац шостий пункту 7 із змінами, внесеними згідно з Постановами КМ </w:t>
      </w:r>
      <w:hyperlink r:id="rId7" w:anchor="n17" w:tgtFrame="_blank" w:history="1">
        <w:r>
          <w:rPr>
            <w:rStyle w:val="arvts100"/>
            <w:b w:val="0"/>
            <w:bCs w:val="0"/>
            <w:i/>
            <w:iCs/>
            <w:lang w:val="uk" w:eastAsia="uk"/>
          </w:rPr>
          <w:t>№ 947 від 20.08.2024</w:t>
        </w:r>
      </w:hyperlink>
      <w:r>
        <w:rPr>
          <w:rStyle w:val="spanrvts46"/>
          <w:b w:val="0"/>
          <w:bCs w:val="0"/>
          <w:i/>
          <w:iCs/>
          <w:lang w:val="uk" w:eastAsia="uk"/>
        </w:rPr>
        <w:t xml:space="preserve">, </w:t>
      </w:r>
      <w:hyperlink r:id="rId8" w:anchor="n15" w:tgtFrame="_blank" w:history="1">
        <w:r>
          <w:rPr>
            <w:rStyle w:val="arvts100"/>
            <w:b w:val="0"/>
            <w:bCs w:val="0"/>
            <w:i/>
            <w:iCs/>
            <w:lang w:val="uk" w:eastAsia="uk"/>
          </w:rPr>
          <w:t>№ 1407 від 10.12.2024</w:t>
        </w:r>
      </w:hyperlink>
      <w:r>
        <w:rPr>
          <w:rStyle w:val="spanrvts46"/>
          <w:b w:val="0"/>
          <w:bCs w:val="0"/>
          <w:i/>
          <w:iCs/>
          <w:lang w:val="uk" w:eastAsia="uk"/>
        </w:rPr>
        <w:t>}</w:t>
      </w:r>
    </w:p>
    <w:p>
      <w:pPr>
        <w:pStyle w:val="rvps2"/>
        <w:spacing w:before="0" w:after="150"/>
        <w:ind w:left="0" w:right="0"/>
        <w:rPr>
          <w:lang w:val="uk" w:eastAsia="uk"/>
        </w:rPr>
      </w:pPr>
      <w:bookmarkStart w:id="70" w:name="n87"/>
      <w:bookmarkEnd w:id="70"/>
      <w:r>
        <w:rPr>
          <w:lang w:val="uk" w:eastAsia="uk"/>
        </w:rPr>
        <w:t xml:space="preserve">Заявка реєструється відповідно до вимог </w:t>
      </w:r>
      <w:hyperlink r:id="rId16" w:anchor="n311" w:tgtFrame="_blank" w:history="1">
        <w:r>
          <w:rPr>
            <w:rStyle w:val="arvts96"/>
            <w:b w:val="0"/>
            <w:bCs w:val="0"/>
            <w:i w:val="0"/>
            <w:iCs w:val="0"/>
            <w:lang w:val="uk" w:eastAsia="uk"/>
          </w:rPr>
          <w:t>статті 42</w:t>
        </w:r>
      </w:hyperlink>
      <w:r>
        <w:rPr>
          <w:lang w:val="uk" w:eastAsia="uk"/>
        </w:rPr>
        <w:t xml:space="preserve"> Закону України “Про адміністративну процедуру”.</w:t>
      </w:r>
    </w:p>
    <w:p>
      <w:pPr>
        <w:pStyle w:val="rvps2"/>
        <w:spacing w:before="0" w:after="150"/>
        <w:ind w:left="0" w:right="0"/>
        <w:rPr>
          <w:lang w:val="uk" w:eastAsia="uk"/>
        </w:rPr>
      </w:pPr>
      <w:bookmarkStart w:id="71" w:name="n88"/>
      <w:bookmarkEnd w:id="71"/>
      <w:r>
        <w:rPr>
          <w:lang w:val="uk" w:eastAsia="uk"/>
        </w:rPr>
        <w:t xml:space="preserve">У разі невідповідності заявки встановленій формі або надання неповної інформації посадова особа Укрдержфонду, яка розглядає заявки, приймає рішення про залишення заявки без руху відповідно до </w:t>
      </w:r>
      <w:hyperlink r:id="rId16" w:anchor="n315" w:tgtFrame="_blank" w:history="1">
        <w:r>
          <w:rPr>
            <w:rStyle w:val="arvts96"/>
            <w:b w:val="0"/>
            <w:bCs w:val="0"/>
            <w:i w:val="0"/>
            <w:iCs w:val="0"/>
            <w:lang w:val="uk" w:eastAsia="uk"/>
          </w:rPr>
          <w:t>статті 43</w:t>
        </w:r>
      </w:hyperlink>
      <w:r>
        <w:rPr>
          <w:lang w:val="uk" w:eastAsia="uk"/>
        </w:rPr>
        <w:t xml:space="preserve"> Закону України “Про адміністративну процедуру”.</w:t>
      </w:r>
    </w:p>
    <w:p>
      <w:pPr>
        <w:pStyle w:val="rvps2"/>
        <w:spacing w:before="0" w:after="150"/>
        <w:ind w:left="0" w:right="0"/>
        <w:rPr>
          <w:lang w:val="uk" w:eastAsia="uk"/>
        </w:rPr>
      </w:pPr>
      <w:bookmarkStart w:id="72" w:name="n89"/>
      <w:bookmarkEnd w:id="72"/>
      <w:r>
        <w:rPr>
          <w:lang w:val="uk" w:eastAsia="uk"/>
        </w:rPr>
        <w:t xml:space="preserve">За напрямами, визначеними </w:t>
      </w:r>
      <w:hyperlink w:anchor="n82" w:history="1">
        <w:r>
          <w:rPr>
            <w:rStyle w:val="arvts99"/>
            <w:b w:val="0"/>
            <w:bCs w:val="0"/>
            <w:i w:val="0"/>
            <w:iCs w:val="0"/>
            <w:lang w:val="uk" w:eastAsia="uk"/>
          </w:rPr>
          <w:t>абзацами другим</w:t>
        </w:r>
      </w:hyperlink>
      <w:r>
        <w:rPr>
          <w:lang w:val="uk" w:eastAsia="uk"/>
        </w:rPr>
        <w:t xml:space="preserve"> та </w:t>
      </w:r>
      <w:hyperlink w:anchor="n85" w:history="1">
        <w:r>
          <w:rPr>
            <w:rStyle w:val="arvts99"/>
            <w:b w:val="0"/>
            <w:bCs w:val="0"/>
            <w:i w:val="0"/>
            <w:iCs w:val="0"/>
            <w:lang w:val="uk" w:eastAsia="uk"/>
          </w:rPr>
          <w:t>п’ятим</w:t>
        </w:r>
      </w:hyperlink>
      <w:r>
        <w:rPr>
          <w:lang w:val="uk" w:eastAsia="uk"/>
        </w:rPr>
        <w:t xml:space="preserve"> цього пункту, отримувачем разом із заявкою програмними засобами ведення Державного аграрного реєстру вносяться відомості про площі посівів сільськогосподарських культур та насаджень плодово-ягідних культур, хмелю і винограду.</w:t>
      </w:r>
    </w:p>
    <w:p>
      <w:pPr>
        <w:pStyle w:val="rvps2"/>
        <w:spacing w:before="0" w:after="150"/>
        <w:ind w:left="0" w:right="0"/>
        <w:rPr>
          <w:lang w:val="uk" w:eastAsia="uk"/>
        </w:rPr>
      </w:pPr>
      <w:bookmarkStart w:id="73" w:name="n90"/>
      <w:bookmarkEnd w:id="73"/>
      <w:r>
        <w:rPr>
          <w:lang w:val="uk" w:eastAsia="uk"/>
        </w:rPr>
        <w:t>Укрдержфонд протягом десяти робочих днів з дня надходження заявки перевіряє подані заявки та відомості про отримувача, які містяться в Державному аграрному реєстрі, на відповідність вимогам цього Порядку, визначає обсяг бюджетних коштів за кожним отримувачем в межах бюджетних асигнувань.</w:t>
      </w:r>
    </w:p>
    <w:p>
      <w:pPr>
        <w:pStyle w:val="rvps2"/>
        <w:spacing w:before="0" w:after="150"/>
        <w:ind w:left="0" w:right="0"/>
        <w:rPr>
          <w:lang w:val="uk" w:eastAsia="uk"/>
        </w:rPr>
      </w:pPr>
      <w:bookmarkStart w:id="74" w:name="n91"/>
      <w:bookmarkEnd w:id="74"/>
      <w:r>
        <w:rPr>
          <w:lang w:val="uk" w:eastAsia="uk"/>
        </w:rPr>
        <w:t>Укрдержфонд за допомогою програмних засобів ведення Державного аграрного реєстру повідомляє отримувачу про погодження із зазначенням обсягу підтримки або відмову у погодженні поданої заявки із зазначенням причин відмови.</w:t>
      </w:r>
    </w:p>
    <w:p>
      <w:pPr>
        <w:pStyle w:val="rvps2"/>
        <w:spacing w:before="0" w:after="150"/>
        <w:ind w:left="0" w:right="0"/>
        <w:rPr>
          <w:lang w:val="uk" w:eastAsia="uk"/>
        </w:rPr>
      </w:pPr>
      <w:bookmarkStart w:id="75" w:name="n92"/>
      <w:bookmarkEnd w:id="75"/>
      <w:r>
        <w:rPr>
          <w:lang w:val="uk" w:eastAsia="uk"/>
        </w:rPr>
        <w:t>Протягом семи календарних днів з дати погодження заявки Укрдержфондом із зазначенням обсягу підтримки отримувач підписує додаток до договору з Укрдержфондом шляхом накладання електронного підпису.</w:t>
      </w:r>
    </w:p>
    <w:p>
      <w:pPr>
        <w:pStyle w:val="rvps2"/>
        <w:spacing w:before="0" w:after="150"/>
        <w:ind w:left="0" w:right="0"/>
        <w:rPr>
          <w:lang w:val="uk" w:eastAsia="uk"/>
        </w:rPr>
      </w:pPr>
      <w:bookmarkStart w:id="76" w:name="n93"/>
      <w:bookmarkEnd w:id="76"/>
      <w:r>
        <w:rPr>
          <w:lang w:val="uk" w:eastAsia="uk"/>
        </w:rPr>
        <w:t>Укрдержфонд формує щомісяця програмними засобами ведення Державного аграрного реєстру переліки отримувачів у розрізі напрямів про нарахування сум бюджетних коштів з урахуванням черговості подання заявок за попередній місяць та подає їх до 10 числа місяця, що настає за звітним, Мінекономіки.</w:t>
      </w:r>
    </w:p>
    <w:p>
      <w:pPr>
        <w:pStyle w:val="rvps2"/>
        <w:spacing w:before="0" w:after="150"/>
        <w:ind w:left="0" w:right="0"/>
        <w:rPr>
          <w:i/>
          <w:iCs/>
          <w:lang w:val="uk" w:eastAsia="uk"/>
        </w:rPr>
      </w:pPr>
      <w:bookmarkStart w:id="77" w:name="n107"/>
      <w:bookmarkEnd w:id="77"/>
      <w:r>
        <w:rPr>
          <w:rStyle w:val="spanrvts46"/>
          <w:b w:val="0"/>
          <w:bCs w:val="0"/>
          <w:i/>
          <w:iCs/>
          <w:lang w:val="uk" w:eastAsia="uk"/>
        </w:rPr>
        <w:t xml:space="preserve">{Абзац тринадцятий пункту 7 в редакції Постанови КМ </w:t>
      </w:r>
      <w:hyperlink r:id="rId7" w:anchor="n18" w:tgtFrame="_blank" w:history="1">
        <w:r>
          <w:rPr>
            <w:rStyle w:val="arvts100"/>
            <w:b w:val="0"/>
            <w:bCs w:val="0"/>
            <w:i/>
            <w:iCs/>
            <w:lang w:val="uk" w:eastAsia="uk"/>
          </w:rPr>
          <w:t>№ 947 від 20.08.2024</w:t>
        </w:r>
      </w:hyperlink>
      <w:r>
        <w:rPr>
          <w:rStyle w:val="spanrvts46"/>
          <w:b w:val="0"/>
          <w:bCs w:val="0"/>
          <w:i/>
          <w:iCs/>
          <w:lang w:val="uk" w:eastAsia="uk"/>
        </w:rPr>
        <w:t>}</w:t>
      </w:r>
    </w:p>
    <w:p>
      <w:pPr>
        <w:pStyle w:val="rvps2"/>
        <w:spacing w:before="0" w:after="150"/>
        <w:ind w:left="0" w:right="0"/>
        <w:rPr>
          <w:lang w:val="uk" w:eastAsia="uk"/>
        </w:rPr>
      </w:pPr>
      <w:bookmarkStart w:id="78" w:name="n94"/>
      <w:bookmarkEnd w:id="78"/>
      <w:r>
        <w:rPr>
          <w:lang w:val="uk" w:eastAsia="uk"/>
        </w:rPr>
        <w:t>Отримувач самостійно відстежує опрацювання своєї заявки через особистий електронний кабінет Державного аграрного реєстру та своєчасно реагує на повідомлення у ньому щодо здійснення всіх необхідних дій для руху заявки, усунення недоліків та її затвердження.</w:t>
      </w:r>
    </w:p>
    <w:p>
      <w:pPr>
        <w:pStyle w:val="rvps2"/>
        <w:spacing w:before="0" w:after="150"/>
        <w:ind w:left="0" w:right="0"/>
        <w:rPr>
          <w:lang w:val="uk" w:eastAsia="uk"/>
        </w:rPr>
      </w:pPr>
      <w:bookmarkStart w:id="79" w:name="n95"/>
      <w:bookmarkEnd w:id="79"/>
      <w:r>
        <w:rPr>
          <w:lang w:val="uk" w:eastAsia="uk"/>
        </w:rPr>
        <w:t>Мінекономіки з дати надходження від Укрдержфонду переліків отримувачів про нарахування сум бюджетних коштів у розрізі напрямів протягом семи робочих днів затверджує розподіл бюджетних коштів за кожним отримувачем в межах бюджетних асигнувань, про що робить відмітку в Державному аграрному реєстрі та спрямовує їх до Укрдержфонду.</w:t>
      </w:r>
    </w:p>
    <w:p>
      <w:pPr>
        <w:pStyle w:val="rvps2"/>
        <w:spacing w:before="0" w:after="150"/>
        <w:ind w:left="0" w:right="0"/>
        <w:rPr>
          <w:lang w:val="uk" w:eastAsia="uk"/>
        </w:rPr>
      </w:pPr>
      <w:bookmarkStart w:id="80" w:name="n96"/>
      <w:bookmarkEnd w:id="80"/>
      <w:r>
        <w:rPr>
          <w:lang w:val="uk" w:eastAsia="uk"/>
        </w:rPr>
        <w:t>Укрдержфонд протягом семи робочих днів з дати отримання коштів від Мінекономіки перераховує їх з рахунка, відкритого в Казначействі, на рахунки отримувачів, зазначені у заявці, на підставі переліків отримувачів про нарахування сум бюджетних коштів у розрізі напрямів, про що інформує Мінекономіки. Інші підтвердні документи до органів Казначейства не подаються.</w:t>
      </w:r>
    </w:p>
    <w:p>
      <w:pPr>
        <w:pStyle w:val="rvps2"/>
        <w:spacing w:before="0" w:after="150"/>
        <w:ind w:left="0" w:right="0"/>
        <w:rPr>
          <w:lang w:val="uk" w:eastAsia="uk"/>
        </w:rPr>
      </w:pPr>
      <w:bookmarkStart w:id="81" w:name="n97"/>
      <w:bookmarkEnd w:id="81"/>
      <w:r>
        <w:rPr>
          <w:lang w:val="uk" w:eastAsia="uk"/>
        </w:rPr>
        <w:t>У разі повернення органами Казначейства бюджетних коштів через невірно зазначені отримувачем банківські реквізити поточного рахунка отримувач у дводенний строк після надходження відповідного повідомлення від Укрдержфонду має підписати заяву про внесення змін у банківські реквізити програмними засобами ведення Державного аграрного реєстру шляхом накладання електронного підпису.</w:t>
      </w:r>
    </w:p>
    <w:p>
      <w:pPr>
        <w:pStyle w:val="rvps2"/>
        <w:spacing w:before="0" w:after="150"/>
        <w:ind w:left="0" w:right="0"/>
        <w:rPr>
          <w:lang w:val="uk" w:eastAsia="uk"/>
        </w:rPr>
      </w:pPr>
      <w:bookmarkStart w:id="82" w:name="n98"/>
      <w:bookmarkEnd w:id="82"/>
      <w:r>
        <w:rPr>
          <w:lang w:val="uk" w:eastAsia="uk"/>
        </w:rPr>
        <w:t>Укрдержфонд щомісяця формує перелік отримувачів, з якими розірвано договори, та подає його програмними засобами ведення Державного аграрного реєстру до Мінекономіки. Такі переліки є підставою для внесення Мінекономіки відповідних змін до розподілу бюджетних коштів за кожним отримувачем.</w:t>
      </w:r>
    </w:p>
    <w:p>
      <w:pPr>
        <w:pStyle w:val="rvps2"/>
        <w:spacing w:before="0" w:after="150"/>
        <w:ind w:left="0" w:right="0"/>
        <w:rPr>
          <w:lang w:val="uk" w:eastAsia="uk"/>
        </w:rPr>
      </w:pPr>
      <w:bookmarkStart w:id="83" w:name="n99"/>
      <w:bookmarkEnd w:id="83"/>
      <w:r>
        <w:rPr>
          <w:lang w:val="uk" w:eastAsia="uk"/>
        </w:rPr>
        <w:t xml:space="preserve">У разі надходження до Державного аграрного реєстру заявок на суму, що відповідає обсягу бюджетних коштів за окремим напрямом, визначеним </w:t>
      </w:r>
      <w:hyperlink w:anchor="n15" w:history="1">
        <w:r>
          <w:rPr>
            <w:rStyle w:val="arvts99"/>
            <w:b w:val="0"/>
            <w:bCs w:val="0"/>
            <w:i w:val="0"/>
            <w:iCs w:val="0"/>
            <w:lang w:val="uk" w:eastAsia="uk"/>
          </w:rPr>
          <w:t>пунктом 5</w:t>
        </w:r>
      </w:hyperlink>
      <w:r>
        <w:rPr>
          <w:lang w:val="uk" w:eastAsia="uk"/>
        </w:rPr>
        <w:t xml:space="preserve"> цього Порядку, подання заявок припиняється, про що оприлюднюється оголошення у Державному аграрному реєстрі.</w:t>
      </w:r>
    </w:p>
    <w:p>
      <w:pPr>
        <w:pStyle w:val="rvps2"/>
        <w:spacing w:before="0" w:after="150"/>
        <w:ind w:left="0" w:right="0"/>
        <w:rPr>
          <w:lang w:val="uk" w:eastAsia="uk"/>
        </w:rPr>
      </w:pPr>
      <w:bookmarkStart w:id="84" w:name="n100"/>
      <w:bookmarkEnd w:id="84"/>
      <w:r>
        <w:rPr>
          <w:lang w:val="uk" w:eastAsia="uk"/>
        </w:rPr>
        <w:t xml:space="preserve">У разі наявності залишку бюджетних коштів або надходження додаткових бюджетних коштів у поточному бюджетному періоді для фінансування напрямів, визначених </w:t>
      </w:r>
      <w:hyperlink w:anchor="n56" w:history="1">
        <w:r>
          <w:rPr>
            <w:rStyle w:val="arvts99"/>
            <w:b w:val="0"/>
            <w:bCs w:val="0"/>
            <w:i w:val="0"/>
            <w:iCs w:val="0"/>
            <w:lang w:val="uk" w:eastAsia="uk"/>
          </w:rPr>
          <w:t>абзацами другим - п’ятим</w:t>
        </w:r>
      </w:hyperlink>
      <w:r>
        <w:rPr>
          <w:lang w:val="uk" w:eastAsia="uk"/>
        </w:rPr>
        <w:t xml:space="preserve"> пункту 5 цього Порядку, у Державному аграрному реєстрі оприлюднюється нове оголошення про початок та кінець прийому заявок.</w:t>
      </w:r>
    </w:p>
    <w:p>
      <w:pPr>
        <w:pStyle w:val="rvps2"/>
        <w:spacing w:before="0" w:after="150"/>
        <w:ind w:left="0" w:right="0"/>
        <w:rPr>
          <w:i/>
          <w:iCs/>
          <w:lang w:val="uk" w:eastAsia="uk"/>
        </w:rPr>
      </w:pPr>
      <w:bookmarkStart w:id="85" w:name="n81"/>
      <w:bookmarkEnd w:id="85"/>
      <w:r>
        <w:rPr>
          <w:rStyle w:val="spanrvts46"/>
          <w:b w:val="0"/>
          <w:bCs w:val="0"/>
          <w:i/>
          <w:iCs/>
          <w:lang w:val="uk" w:eastAsia="uk"/>
        </w:rPr>
        <w:t xml:space="preserve">{Пункт 7 в редакції Постанови КМ </w:t>
      </w:r>
      <w:hyperlink r:id="rId6" w:anchor="n40" w:tgtFrame="_blank" w:history="1">
        <w:r>
          <w:rPr>
            <w:rStyle w:val="arvts100"/>
            <w:b w:val="0"/>
            <w:bCs w:val="0"/>
            <w:i/>
            <w:iCs/>
            <w:lang w:val="uk" w:eastAsia="uk"/>
          </w:rPr>
          <w:t>№ 300 від 15.03.2024</w:t>
        </w:r>
      </w:hyperlink>
      <w:r>
        <w:rPr>
          <w:rStyle w:val="spanrvts46"/>
          <w:b w:val="0"/>
          <w:bCs w:val="0"/>
          <w:i/>
          <w:iCs/>
          <w:lang w:val="uk" w:eastAsia="uk"/>
        </w:rPr>
        <w:t>}</w:t>
      </w:r>
    </w:p>
    <w:p>
      <w:pPr>
        <w:pStyle w:val="rvps2"/>
        <w:spacing w:before="0" w:after="150"/>
        <w:ind w:left="0" w:right="0"/>
        <w:rPr>
          <w:lang w:val="uk" w:eastAsia="uk"/>
        </w:rPr>
      </w:pPr>
      <w:bookmarkStart w:id="86" w:name="n43"/>
      <w:bookmarkEnd w:id="86"/>
      <w:r>
        <w:rPr>
          <w:lang w:val="uk" w:eastAsia="uk"/>
        </w:rPr>
        <w:t xml:space="preserve">8. Укрдержфонд надсилає до 15 січня наступного бюджетного періоду до Мінекономіки узагальнену інформацію про використання коштів за напрямами, визначеними </w:t>
      </w:r>
      <w:hyperlink w:anchor="n15" w:history="1">
        <w:r>
          <w:rPr>
            <w:rStyle w:val="arvts99"/>
            <w:b w:val="0"/>
            <w:bCs w:val="0"/>
            <w:i w:val="0"/>
            <w:iCs w:val="0"/>
            <w:lang w:val="uk" w:eastAsia="uk"/>
          </w:rPr>
          <w:t>пунктом 5</w:t>
        </w:r>
      </w:hyperlink>
      <w:r>
        <w:rPr>
          <w:lang w:val="uk" w:eastAsia="uk"/>
        </w:rPr>
        <w:t xml:space="preserve"> цього Порядку.</w:t>
      </w:r>
    </w:p>
    <w:p>
      <w:pPr>
        <w:pStyle w:val="rvps2"/>
        <w:spacing w:before="0" w:after="150"/>
        <w:ind w:left="0" w:right="0"/>
        <w:rPr>
          <w:lang w:val="uk" w:eastAsia="uk"/>
        </w:rPr>
      </w:pPr>
      <w:bookmarkStart w:id="87" w:name="n44"/>
      <w:bookmarkEnd w:id="87"/>
      <w:r>
        <w:rPr>
          <w:lang w:val="uk" w:eastAsia="uk"/>
        </w:rPr>
        <w:t xml:space="preserve">9. Сума бюджетних коштів, що надаються протягом одного бюджетного періоду отримувачам та пов’язаним із ними особам у розумінні </w:t>
      </w:r>
      <w:hyperlink r:id="rId17" w:anchor="n567" w:tgtFrame="_blank" w:history="1">
        <w:r>
          <w:rPr>
            <w:rStyle w:val="arvts96"/>
            <w:b w:val="0"/>
            <w:bCs w:val="0"/>
            <w:i w:val="0"/>
            <w:iCs w:val="0"/>
            <w:lang w:val="uk" w:eastAsia="uk"/>
          </w:rPr>
          <w:t>підпункту 14.1.159</w:t>
        </w:r>
      </w:hyperlink>
      <w:r>
        <w:rPr>
          <w:lang w:val="uk" w:eastAsia="uk"/>
        </w:rPr>
        <w:t xml:space="preserve"> пункту 14.1 статті 14 Податкового кодексу України за напрямами, передбаченими </w:t>
      </w:r>
      <w:hyperlink w:anchor="n15" w:history="1">
        <w:r>
          <w:rPr>
            <w:rStyle w:val="arvts99"/>
            <w:b w:val="0"/>
            <w:bCs w:val="0"/>
            <w:i w:val="0"/>
            <w:iCs w:val="0"/>
            <w:lang w:val="uk" w:eastAsia="uk"/>
          </w:rPr>
          <w:t>пунктом 5</w:t>
        </w:r>
      </w:hyperlink>
      <w:r>
        <w:rPr>
          <w:lang w:val="uk" w:eastAsia="uk"/>
        </w:rPr>
        <w:t xml:space="preserve"> цього Порядку, не може перевищувати 10 тис. розмірів мінімальної заробітної плати, встановленої на 1 січня відповідного року.</w:t>
      </w:r>
    </w:p>
    <w:p>
      <w:pPr>
        <w:pStyle w:val="rvps2"/>
        <w:spacing w:before="0" w:after="150"/>
        <w:ind w:left="0" w:right="0"/>
        <w:rPr>
          <w:lang w:val="uk" w:eastAsia="uk"/>
        </w:rPr>
      </w:pPr>
      <w:bookmarkStart w:id="88" w:name="n45"/>
      <w:bookmarkEnd w:id="88"/>
      <w:r>
        <w:rPr>
          <w:rStyle w:val="spanrvts11"/>
          <w:b w:val="0"/>
          <w:bCs w:val="0"/>
          <w:i/>
          <w:iCs/>
          <w:lang w:val="uk" w:eastAsia="uk"/>
        </w:rPr>
        <w:t xml:space="preserve">{Пункт 10 виключено на підставі Постанови КМ </w:t>
      </w:r>
      <w:hyperlink r:id="rId10" w:anchor="n42" w:tgtFrame="_blank" w:history="1">
        <w:r>
          <w:rPr>
            <w:rStyle w:val="arvts100"/>
            <w:b w:val="0"/>
            <w:bCs w:val="0"/>
            <w:i/>
            <w:iCs/>
            <w:lang w:val="uk" w:eastAsia="uk"/>
          </w:rPr>
          <w:t>№ 1625 від 10.12.2025</w:t>
        </w:r>
      </w:hyperlink>
      <w:r>
        <w:rPr>
          <w:rStyle w:val="spanrvts11"/>
          <w:b w:val="0"/>
          <w:bCs w:val="0"/>
          <w:i/>
          <w:iCs/>
          <w:lang w:val="uk" w:eastAsia="uk"/>
        </w:rPr>
        <w:t>}</w:t>
      </w:r>
    </w:p>
    <w:p>
      <w:pPr>
        <w:pStyle w:val="rvps2"/>
        <w:spacing w:before="0" w:after="150"/>
        <w:ind w:left="0" w:right="0"/>
        <w:rPr>
          <w:lang w:val="uk" w:eastAsia="uk"/>
        </w:rPr>
      </w:pPr>
      <w:bookmarkStart w:id="89" w:name="n46"/>
      <w:bookmarkEnd w:id="89"/>
      <w:r>
        <w:rPr>
          <w:lang w:val="uk" w:eastAsia="uk"/>
        </w:rPr>
        <w:t>11. Відображення у первинному та бухгалтерському обліку інформації про отримані (створені) оборотні і необоротні активи, а також відкриття та закриття рахунків, реєстрація та облік бюджетних зобов’язань в органах Казначейства та операції, пов’язані з використанням бюджетних коштів, здійснюються в порядку, встановленому законодавством.</w:t>
      </w:r>
    </w:p>
    <w:p>
      <w:pPr>
        <w:pStyle w:val="rvps2"/>
        <w:spacing w:before="0" w:after="150"/>
        <w:ind w:left="0" w:right="0"/>
        <w:rPr>
          <w:i/>
          <w:iCs/>
          <w:lang w:val="uk" w:eastAsia="uk"/>
        </w:rPr>
      </w:pPr>
      <w:bookmarkStart w:id="90" w:name="n109"/>
      <w:bookmarkEnd w:id="90"/>
      <w:r>
        <w:rPr>
          <w:rStyle w:val="spanrvts46"/>
          <w:b w:val="0"/>
          <w:bCs w:val="0"/>
          <w:i/>
          <w:iCs/>
          <w:lang w:val="uk" w:eastAsia="uk"/>
        </w:rPr>
        <w:t xml:space="preserve">{Пункт 11 із змінами, внесеними згідно з Постановою КМ </w:t>
      </w:r>
      <w:hyperlink r:id="rId8" w:anchor="n16" w:tgtFrame="_blank" w:history="1">
        <w:r>
          <w:rPr>
            <w:rStyle w:val="arvts100"/>
            <w:b w:val="0"/>
            <w:bCs w:val="0"/>
            <w:i/>
            <w:iCs/>
            <w:lang w:val="uk" w:eastAsia="uk"/>
          </w:rPr>
          <w:t>№ 1407 від 10.12.2024</w:t>
        </w:r>
      </w:hyperlink>
      <w:r>
        <w:rPr>
          <w:rStyle w:val="spanrvts46"/>
          <w:b w:val="0"/>
          <w:bCs w:val="0"/>
          <w:i/>
          <w:iCs/>
          <w:lang w:val="uk" w:eastAsia="uk"/>
        </w:rPr>
        <w:t>}</w:t>
      </w:r>
    </w:p>
    <w:p>
      <w:pPr>
        <w:pStyle w:val="rvps2"/>
        <w:spacing w:before="0" w:after="150"/>
        <w:ind w:left="0" w:right="0"/>
        <w:rPr>
          <w:lang w:val="uk" w:eastAsia="uk"/>
        </w:rPr>
      </w:pPr>
      <w:bookmarkStart w:id="91" w:name="n47"/>
      <w:bookmarkEnd w:id="91"/>
      <w:r>
        <w:rPr>
          <w:lang w:val="uk" w:eastAsia="uk"/>
        </w:rPr>
        <w:t>12. Погашення кредиторської заборгованості за бюджетними зобов’язаннями, взятими на облік органами Казначейства, здійснюється в установленому законодавством порядку.</w:t>
      </w:r>
    </w:p>
    <w:p>
      <w:pPr>
        <w:pStyle w:val="rvps2"/>
        <w:spacing w:before="0" w:after="150"/>
        <w:ind w:left="0" w:right="0"/>
        <w:rPr>
          <w:i/>
          <w:iCs/>
          <w:lang w:val="uk" w:eastAsia="uk"/>
        </w:rPr>
      </w:pPr>
      <w:bookmarkStart w:id="92" w:name="n111"/>
      <w:bookmarkEnd w:id="92"/>
      <w:r>
        <w:rPr>
          <w:rStyle w:val="spanrvts46"/>
          <w:b w:val="0"/>
          <w:bCs w:val="0"/>
          <w:i/>
          <w:iCs/>
          <w:lang w:val="uk" w:eastAsia="uk"/>
        </w:rPr>
        <w:t xml:space="preserve">{Пункт 12 в редакції Постанови КМ </w:t>
      </w:r>
      <w:hyperlink r:id="rId10" w:anchor="n43" w:tgtFrame="_blank" w:history="1">
        <w:r>
          <w:rPr>
            <w:rStyle w:val="arvts100"/>
            <w:b w:val="0"/>
            <w:bCs w:val="0"/>
            <w:i/>
            <w:iCs/>
            <w:lang w:val="uk" w:eastAsia="uk"/>
          </w:rPr>
          <w:t>№ 1625 від 10.12.2025</w:t>
        </w:r>
      </w:hyperlink>
      <w:r>
        <w:rPr>
          <w:rStyle w:val="spanrvts46"/>
          <w:b w:val="0"/>
          <w:bCs w:val="0"/>
          <w:i/>
          <w:iCs/>
          <w:lang w:val="uk" w:eastAsia="uk"/>
        </w:rPr>
        <w:t>}</w:t>
      </w:r>
    </w:p>
    <w:p>
      <w:pPr>
        <w:pStyle w:val="rvps2"/>
        <w:spacing w:before="0" w:after="150"/>
        <w:ind w:left="0" w:right="0"/>
        <w:rPr>
          <w:lang w:val="uk" w:eastAsia="uk"/>
        </w:rPr>
      </w:pPr>
      <w:bookmarkStart w:id="93" w:name="n48"/>
      <w:bookmarkEnd w:id="93"/>
      <w:r>
        <w:rPr>
          <w:lang w:val="uk" w:eastAsia="uk"/>
        </w:rPr>
        <w:t>13. Мінекономіки після закінчення бюджетного періоду подає Мінфіну інформацію про стан виконання результативних показників із результатами аналізу, поясненнями, висновками щодо їх виконання у визначені законодавством строки.</w:t>
      </w:r>
    </w:p>
    <w:p>
      <w:pPr>
        <w:pStyle w:val="rvps2"/>
        <w:spacing w:before="0" w:after="150"/>
        <w:ind w:left="0" w:right="0"/>
        <w:rPr>
          <w:lang w:val="uk" w:eastAsia="uk"/>
        </w:rPr>
      </w:pPr>
      <w:bookmarkStart w:id="94" w:name="n49"/>
      <w:bookmarkEnd w:id="94"/>
      <w:r>
        <w:rPr>
          <w:lang w:val="uk" w:eastAsia="uk"/>
        </w:rPr>
        <w:t xml:space="preserve">14.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 </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Порядок від 16.08.2022 № 918</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18.12.2025</w:t>
            </w:r>
            <w:r>
              <w:rPr>
                <w:rFonts w:ascii="Times New Roman" w:eastAsia="Times New Roman" w:hAnsi="Times New Roman" w:cs="Times New Roman"/>
                <w:sz w:val="20"/>
                <w:szCs w:val="20"/>
                <w:lang w:val="uk" w:eastAsia="uk"/>
              </w:rPr>
              <w:t xml:space="preserve">, підстава — </w:t>
            </w:r>
            <w:hyperlink r:id="rId11" w:tgtFrame="_blank" w:history="1">
              <w:r>
                <w:rPr>
                  <w:rFonts w:ascii="Times New Roman" w:eastAsia="Times New Roman" w:hAnsi="Times New Roman" w:cs="Times New Roman"/>
                  <w:color w:val="0000EE"/>
                  <w:sz w:val="20"/>
                  <w:szCs w:val="20"/>
                  <w:u w:val="single" w:color="0000EE"/>
                  <w:lang w:val="uk" w:eastAsia="uk"/>
                </w:rPr>
                <w:t>1653-2025-п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https://zakon.rada.gov.ua/go/918-2022-%D0%BF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07.04.2026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9"/>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23.08.2022 — № 182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02.09.2022 — 2022 р., № 68, стор. 325, стаття 4113, код акта 113290/2022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625-2025-%D0%BF" TargetMode="External" /><Relationship Id="rId11" Type="http://schemas.openxmlformats.org/officeDocument/2006/relationships/hyperlink" Target="https://zakon.rada.gov.ua/laws/show/1653-2025-%D0%BF" TargetMode="External" /><Relationship Id="rId12" Type="http://schemas.openxmlformats.org/officeDocument/2006/relationships/hyperlink" Target="https://zakon.rada.gov.ua/laws/show/549-2025-%D0%BF" TargetMode="External" /><Relationship Id="rId13" Type="http://schemas.openxmlformats.org/officeDocument/2006/relationships/hyperlink" Target="https://zakon.rada.gov.ua/laws/show/z0380-25" TargetMode="External" /><Relationship Id="rId14" Type="http://schemas.openxmlformats.org/officeDocument/2006/relationships/hyperlink" Target="https://zakon.rada.gov.ua/laws/show/2597-19" TargetMode="External" /><Relationship Id="rId15" Type="http://schemas.openxmlformats.org/officeDocument/2006/relationships/hyperlink" Target="https://zakon.rada.gov.ua/laws/show/1644-18" TargetMode="External" /><Relationship Id="rId16" Type="http://schemas.openxmlformats.org/officeDocument/2006/relationships/hyperlink" Target="https://zakon.rada.gov.ua/laws/show/2073-20" TargetMode="External" /><Relationship Id="rId17" Type="http://schemas.openxmlformats.org/officeDocument/2006/relationships/hyperlink" Target="https://zakon.rada.gov.ua/laws/show/2755-17" TargetMode="Externa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294-2022-%D0%BF" TargetMode="External" /><Relationship Id="rId6" Type="http://schemas.openxmlformats.org/officeDocument/2006/relationships/hyperlink" Target="https://zakon.rada.gov.ua/laws/show/300-2024-%D0%BF" TargetMode="External" /><Relationship Id="rId7" Type="http://schemas.openxmlformats.org/officeDocument/2006/relationships/hyperlink" Target="https://zakon.rada.gov.ua/laws/show/947-2024-%D0%BF" TargetMode="External" /><Relationship Id="rId8" Type="http://schemas.openxmlformats.org/officeDocument/2006/relationships/hyperlink" Target="https://zakon.rada.gov.ua/laws/show/1407-2024-%D0%BF" TargetMode="External" /><Relationship Id="rId9" Type="http://schemas.openxmlformats.org/officeDocument/2006/relationships/hyperlink" Target="https://zakon.rada.gov.ua/laws/show/641-2025-%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використання коштів, передбачених у державному бюджеті для надання підтримки фермерським господарствам та інш... | від 16.08.2022 № 918</dc:title>
  <cp:revision>0</cp:revision>
</cp:coreProperties>
</file>